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E886273" w14:textId="4F45E2FD" w:rsidR="00934A35" w:rsidRDefault="004B0B9A" w:rsidP="00D462AA">
      <w:pPr>
        <w:pStyle w:val="Title"/>
      </w:pPr>
      <w:r>
        <w:t>Negative</w:t>
      </w:r>
      <w:r w:rsidR="00EE1E8E">
        <w:t xml:space="preserve">: </w:t>
      </w:r>
      <w:r w:rsidR="006616AA">
        <w:t>Quick Take – not a problem</w:t>
      </w:r>
    </w:p>
    <w:p w14:paraId="16A637BD" w14:textId="0130D29E" w:rsidR="00AF2404" w:rsidRPr="009F6359" w:rsidRDefault="00D462AA" w:rsidP="00AF2404">
      <w:pPr>
        <w:jc w:val="center"/>
        <w:rPr>
          <w:b/>
        </w:rPr>
      </w:pPr>
      <w:r w:rsidRPr="009F6359">
        <w:rPr>
          <w:b/>
        </w:rPr>
        <w:t xml:space="preserve">By </w:t>
      </w:r>
      <w:r w:rsidR="004B0B9A" w:rsidRPr="009F6359">
        <w:rPr>
          <w:b/>
        </w:rPr>
        <w:t>“Coach Vance” Trefethen</w:t>
      </w:r>
    </w:p>
    <w:p w14:paraId="7774EA56" w14:textId="724326C0" w:rsidR="003276F1" w:rsidRDefault="003276F1" w:rsidP="003276F1">
      <w:pPr>
        <w:shd w:val="clear" w:color="auto" w:fill="FFFFFF"/>
        <w:spacing w:after="0" w:line="240" w:lineRule="auto"/>
        <w:jc w:val="center"/>
        <w:rPr>
          <w:rStyle w:val="Emphasis"/>
          <w:b/>
        </w:rPr>
      </w:pPr>
      <w:r w:rsidRPr="003276F1">
        <w:rPr>
          <w:rStyle w:val="Emphasis"/>
          <w:b/>
        </w:rPr>
        <w:t xml:space="preserve">Resolved: </w:t>
      </w:r>
      <w:r w:rsidR="008B5DB7" w:rsidRPr="008B5DB7">
        <w:rPr>
          <w:rStyle w:val="Emphasis"/>
          <w:b/>
        </w:rPr>
        <w:t>The United States Federal Government should s</w:t>
      </w:r>
      <w:r w:rsidR="008C6A37">
        <w:rPr>
          <w:rStyle w:val="Emphasis"/>
          <w:b/>
        </w:rPr>
        <w:t>ignificantl</w:t>
      </w:r>
      <w:r w:rsidR="008B5DB7" w:rsidRPr="008B5DB7">
        <w:rPr>
          <w:rStyle w:val="Emphasis"/>
          <w:b/>
        </w:rPr>
        <w:t xml:space="preserve">y reform its </w:t>
      </w:r>
      <w:r w:rsidR="008C6A37">
        <w:rPr>
          <w:rStyle w:val="Emphasis"/>
          <w:b/>
        </w:rPr>
        <w:t xml:space="preserve">energy </w:t>
      </w:r>
      <w:r w:rsidR="008B5DB7" w:rsidRPr="008B5DB7">
        <w:rPr>
          <w:rStyle w:val="Emphasis"/>
          <w:b/>
        </w:rPr>
        <w:t>policy.</w:t>
      </w:r>
    </w:p>
    <w:p w14:paraId="0844A480" w14:textId="77777777" w:rsidR="003276F1" w:rsidRPr="003276F1" w:rsidRDefault="003276F1" w:rsidP="003276F1">
      <w:pPr>
        <w:shd w:val="clear" w:color="auto" w:fill="FFFFFF"/>
        <w:spacing w:after="0" w:line="240" w:lineRule="auto"/>
        <w:jc w:val="center"/>
        <w:rPr>
          <w:rStyle w:val="Emphasis"/>
          <w:b/>
        </w:rPr>
      </w:pPr>
    </w:p>
    <w:p w14:paraId="18A9E88D" w14:textId="5C2B7D15" w:rsidR="00F07F3F" w:rsidRPr="00F07F3F" w:rsidRDefault="00401039" w:rsidP="008C6A37">
      <w:pPr>
        <w:pStyle w:val="Case"/>
        <w:numPr>
          <w:ilvl w:val="0"/>
          <w:numId w:val="0"/>
        </w:numPr>
        <w:pBdr>
          <w:bottom w:val="single" w:sz="4" w:space="0" w:color="595959"/>
        </w:pBd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6616AA">
        <w:rPr>
          <w:rFonts w:eastAsiaTheme="minorEastAsia"/>
        </w:rPr>
        <w:t>“Quick Take” is a provision in the Natural Gas Act that allows a pipeline company to take (by eminent domain under the 5</w:t>
      </w:r>
      <w:r w:rsidR="006616AA" w:rsidRPr="006616AA">
        <w:rPr>
          <w:rFonts w:eastAsiaTheme="minorEastAsia"/>
          <w:vertAlign w:val="superscript"/>
        </w:rPr>
        <w:t>th</w:t>
      </w:r>
      <w:r w:rsidR="006616AA">
        <w:rPr>
          <w:rFonts w:eastAsiaTheme="minorEastAsia"/>
        </w:rPr>
        <w:t xml:space="preserve"> Amendment with</w:t>
      </w:r>
      <w:r w:rsidR="006C5222">
        <w:rPr>
          <w:rFonts w:eastAsiaTheme="minorEastAsia"/>
        </w:rPr>
        <w:t xml:space="preserve"> federal</w:t>
      </w:r>
      <w:r w:rsidR="006616AA">
        <w:rPr>
          <w:rFonts w:eastAsiaTheme="minorEastAsia"/>
        </w:rPr>
        <w:t xml:space="preserve"> government backing</w:t>
      </w:r>
      <w:r w:rsidR="006C5222">
        <w:rPr>
          <w:rFonts w:eastAsiaTheme="minorEastAsia"/>
        </w:rPr>
        <w:t xml:space="preserve"> it through the Federal Energy Regulatory Commission</w:t>
      </w:r>
      <w:r w:rsidR="006616AA">
        <w:rPr>
          <w:rFonts w:eastAsiaTheme="minorEastAsia"/>
        </w:rPr>
        <w:t>) the use of private landowners’ property and start using it for a pipeline even before just compensation (required by the 5</w:t>
      </w:r>
      <w:r w:rsidR="006616AA" w:rsidRPr="006616AA">
        <w:rPr>
          <w:rFonts w:eastAsiaTheme="minorEastAsia"/>
          <w:vertAlign w:val="superscript"/>
        </w:rPr>
        <w:t>th</w:t>
      </w:r>
      <w:r w:rsidR="006C5222">
        <w:rPr>
          <w:rFonts w:eastAsiaTheme="minorEastAsia"/>
        </w:rPr>
        <w:t xml:space="preserve"> A.) is paid.  </w:t>
      </w:r>
      <w:r w:rsidR="006616AA">
        <w:rPr>
          <w:rFonts w:eastAsiaTheme="minorEastAsia"/>
        </w:rPr>
        <w:t>“Eminent Domain” is the legal doctrine that government can take private property for public use as long as just compensation is paid – and this is authorized by the 5</w:t>
      </w:r>
      <w:r w:rsidR="006616AA" w:rsidRPr="006616AA">
        <w:rPr>
          <w:rFonts w:eastAsiaTheme="minorEastAsia"/>
          <w:vertAlign w:val="superscript"/>
        </w:rPr>
        <w:t>th</w:t>
      </w:r>
      <w:r w:rsidR="006616AA">
        <w:rPr>
          <w:rFonts w:eastAsiaTheme="minorEastAsia"/>
        </w:rPr>
        <w:t xml:space="preserve"> Amendment to the Constitution.   This allows the pipeline to get started and completed faster, before all the court battles over how much compensation is owed.  </w:t>
      </w:r>
      <w:r w:rsidR="006C5222">
        <w:rPr>
          <w:rFonts w:eastAsiaTheme="minorEastAsia"/>
        </w:rPr>
        <w:t>AFF will argue that the</w:t>
      </w:r>
      <w:r w:rsidR="006616AA">
        <w:rPr>
          <w:rFonts w:eastAsiaTheme="minorEastAsia"/>
        </w:rPr>
        <w:t xml:space="preserve"> landowners get paid</w:t>
      </w:r>
      <w:r w:rsidR="006C5222">
        <w:rPr>
          <w:rFonts w:eastAsiaTheme="minorEastAsia"/>
        </w:rPr>
        <w:t xml:space="preserve"> late</w:t>
      </w:r>
      <w:r w:rsidR="006616AA">
        <w:rPr>
          <w:rFonts w:eastAsiaTheme="minorEastAsia"/>
        </w:rPr>
        <w:t>,</w:t>
      </w:r>
      <w:r w:rsidR="006C5222">
        <w:rPr>
          <w:rFonts w:eastAsiaTheme="minorEastAsia"/>
        </w:rPr>
        <w:t xml:space="preserve"> that is, </w:t>
      </w:r>
      <w:r w:rsidR="006616AA">
        <w:rPr>
          <w:rFonts w:eastAsiaTheme="minorEastAsia"/>
        </w:rPr>
        <w:t>not until “after” the land has already been put into use, instead of before.  AFF repeals this provision.</w:t>
      </w:r>
    </w:p>
    <w:p w14:paraId="48A21CA5" w14:textId="34696EC7" w:rsidR="009F73A0" w:rsidRDefault="00DA2F2D">
      <w:pPr>
        <w:pStyle w:val="TOC1"/>
        <w:rPr>
          <w:rFonts w:asciiTheme="minorHAnsi" w:eastAsiaTheme="minorEastAsia" w:hAnsiTheme="minorHAnsi" w:cstheme="minorBidi"/>
          <w:b w:val="0"/>
          <w:noProof/>
        </w:rPr>
      </w:pPr>
      <w:r>
        <w:fldChar w:fldCharType="begin"/>
      </w:r>
      <w:r>
        <w:instrText xml:space="preserve"> TOC \o "1-3" \t "Contention 1,2,Contention 2,3,Title 2,1" </w:instrText>
      </w:r>
      <w:r>
        <w:fldChar w:fldCharType="separate"/>
      </w:r>
      <w:bookmarkStart w:id="0" w:name="_GoBack"/>
      <w:bookmarkEnd w:id="0"/>
      <w:r w:rsidR="009F73A0">
        <w:rPr>
          <w:noProof/>
        </w:rPr>
        <w:t>Negative: Quick Take – not a problem</w:t>
      </w:r>
      <w:r w:rsidR="009F73A0">
        <w:rPr>
          <w:noProof/>
        </w:rPr>
        <w:tab/>
      </w:r>
      <w:r w:rsidR="009F73A0">
        <w:rPr>
          <w:noProof/>
        </w:rPr>
        <w:fldChar w:fldCharType="begin"/>
      </w:r>
      <w:r w:rsidR="009F73A0">
        <w:rPr>
          <w:noProof/>
        </w:rPr>
        <w:instrText xml:space="preserve"> PAGEREF _Toc31382884 \h </w:instrText>
      </w:r>
      <w:r w:rsidR="009F73A0">
        <w:rPr>
          <w:noProof/>
        </w:rPr>
      </w:r>
      <w:r w:rsidR="009F73A0">
        <w:rPr>
          <w:noProof/>
        </w:rPr>
        <w:fldChar w:fldCharType="separate"/>
      </w:r>
      <w:r w:rsidR="009F73A0">
        <w:rPr>
          <w:noProof/>
        </w:rPr>
        <w:t>2</w:t>
      </w:r>
      <w:r w:rsidR="009F73A0">
        <w:rPr>
          <w:noProof/>
        </w:rPr>
        <w:fldChar w:fldCharType="end"/>
      </w:r>
    </w:p>
    <w:p w14:paraId="0E31C900" w14:textId="2FB81FD8" w:rsidR="009F73A0" w:rsidRDefault="009F73A0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HARMS / SIGNIFICANCE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26F8BD6C" w14:textId="20600141" w:rsidR="009F73A0" w:rsidRDefault="009F73A0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1.  No property snatched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2F87A975" w14:textId="452B24B0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Homeowners property isn’t snatched away.  They have hearings and due process that comply with the Constitution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027CC373" w14:textId="164FA3D6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Just for background/context:  The case quoted above is about property being taken for a natural gas pipeline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762D35F" w14:textId="5AE8C54E" w:rsidR="009F73A0" w:rsidRDefault="009F73A0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2.  Take now / Pay later doesn’t violate anyone’s rights nor the Constitution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55386A7" w14:textId="7E60C983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Nothing in the law nor the Constitution that makes take now/pay later a problem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061ACC5" w14:textId="39612E90" w:rsidR="009F73A0" w:rsidRDefault="009F73A0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3.  Net benefits favor Status Quo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E2DD2B6" w14:textId="5102E46D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FERC finds:  Net benefits of the pipeline outweigh adverse impacts to the landowners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F98575" w14:textId="1EFD3488" w:rsidR="009F73A0" w:rsidRDefault="009F73A0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4.  No financial loss to the landowners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819E36" w14:textId="29BE8263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The pipeline company has to post a large deposit, and the landowners can use that money while the court cases continue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89F6D1C" w14:textId="5194E434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 xml:space="preserve">Pipeline company </w:t>
      </w:r>
      <w:r w:rsidRPr="00742A78">
        <w:rPr>
          <w:noProof/>
          <w:u w:val="single"/>
        </w:rPr>
        <w:t>cannot escape</w:t>
      </w:r>
      <w:r>
        <w:rPr>
          <w:noProof/>
        </w:rPr>
        <w:t xml:space="preserve"> obligation to pay the landowners – it’s guaranteed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729AFCD" w14:textId="58B5AC83" w:rsidR="009F73A0" w:rsidRDefault="009F73A0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DISADVANTAGES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54A2323" w14:textId="17534842" w:rsidR="009F73A0" w:rsidRDefault="009F73A0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1.  More dangerous transportation of natural gas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832E37C" w14:textId="3B5C6DFD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Link:  AFF slows down or blocks the development of natural gas pipelines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34DE9EF" w14:textId="77BAD1B8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Link:  Rail and trucks are the alternatives that will be used instead of pipelines for natural gas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_Toc31382899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F144028" w14:textId="768C87AB" w:rsidR="009F73A0" w:rsidRDefault="009F73A0">
      <w:pPr>
        <w:pStyle w:val="TOC3"/>
        <w:rPr>
          <w:rFonts w:asciiTheme="minorHAnsi" w:eastAsiaTheme="minorEastAsia" w:hAnsiTheme="minorHAnsi" w:cstheme="minorBidi"/>
          <w:noProof/>
          <w:sz w:val="22"/>
        </w:rPr>
      </w:pPr>
      <w:r>
        <w:rPr>
          <w:noProof/>
        </w:rPr>
        <w:t>Impact:  More people die.  Pipelines are the safest way to transport natural gas. Fatality rates go up with other systems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_Toc31382900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D7F073C" w14:textId="59951DB9" w:rsidR="00D462AA" w:rsidRDefault="00DA2F2D" w:rsidP="00303BC4">
      <w:pPr>
        <w:pStyle w:val="Title2"/>
      </w:pPr>
      <w:r>
        <w:rPr>
          <w:sz w:val="22"/>
        </w:rPr>
        <w:lastRenderedPageBreak/>
        <w:fldChar w:fldCharType="end"/>
      </w:r>
      <w:bookmarkStart w:id="1" w:name="_Toc31382884"/>
      <w:r w:rsidR="004B0B9A">
        <w:t>Negative</w:t>
      </w:r>
      <w:r w:rsidR="008C6A37">
        <w:t xml:space="preserve">: </w:t>
      </w:r>
      <w:r w:rsidR="006616AA">
        <w:t>Quick Take – not a problem</w:t>
      </w:r>
      <w:bookmarkEnd w:id="1"/>
    </w:p>
    <w:p w14:paraId="7389042C" w14:textId="3C5A0277" w:rsidR="008B5DB7" w:rsidRDefault="00C53C58" w:rsidP="00EE1E8E">
      <w:pPr>
        <w:pStyle w:val="Contention1"/>
      </w:pPr>
      <w:bookmarkStart w:id="2" w:name="_Toc31382885"/>
      <w:r>
        <w:t>HARMS / SIGNIFICANCE</w:t>
      </w:r>
      <w:bookmarkEnd w:id="2"/>
    </w:p>
    <w:p w14:paraId="641D50DE" w14:textId="6641B4E3" w:rsidR="000608E1" w:rsidRDefault="009F6359" w:rsidP="00EE1E8E">
      <w:pPr>
        <w:pStyle w:val="Contention1"/>
      </w:pPr>
      <w:bookmarkStart w:id="3" w:name="_Toc31382886"/>
      <w:r>
        <w:t xml:space="preserve">1.  No </w:t>
      </w:r>
      <w:r w:rsidR="006C5222">
        <w:t>property snatched</w:t>
      </w:r>
      <w:bookmarkEnd w:id="3"/>
    </w:p>
    <w:p w14:paraId="57B8A6F5" w14:textId="5ABF1451" w:rsidR="009F6359" w:rsidRDefault="003D1590" w:rsidP="003D1590">
      <w:pPr>
        <w:pStyle w:val="Contention2"/>
      </w:pPr>
      <w:bookmarkStart w:id="4" w:name="_Toc31382887"/>
      <w:r>
        <w:t xml:space="preserve">Homeowners property isn’t snatched away.  They have hearings </w:t>
      </w:r>
      <w:r w:rsidR="006C5222">
        <w:t>and due process that comply</w:t>
      </w:r>
      <w:r>
        <w:t xml:space="preserve"> with the Constitution</w:t>
      </w:r>
      <w:bookmarkEnd w:id="4"/>
    </w:p>
    <w:p w14:paraId="71B66DBB" w14:textId="5E944DB4" w:rsidR="003D1590" w:rsidRDefault="003D1590" w:rsidP="003D1590">
      <w:pPr>
        <w:pStyle w:val="Citation3"/>
      </w:pPr>
      <w:r w:rsidRPr="003D1590">
        <w:rPr>
          <w:u w:val="single"/>
        </w:rPr>
        <w:t>US Court of Appeals for the District of Columbia Circuit 2019</w:t>
      </w:r>
      <w:r>
        <w:t xml:space="preserve">. (decision rendered by federal judges: Merrick Garland, David Tatel and Patricia Millett) 2 Aug 2019 decision of the court in the case of  Allegheny Defense Project v. Federal Energy Regulatory Commission </w:t>
      </w:r>
      <w:r w:rsidRPr="003D1590">
        <w:t>https://www.cadc.uscourts.gov/internet/opinions.nsf/30B53884136CA8FA8525844A00507160/$file/17-1098-1800392.pdf</w:t>
      </w:r>
    </w:p>
    <w:p w14:paraId="3F8C5BDB" w14:textId="19D8F014" w:rsidR="00951748" w:rsidRDefault="003D1590" w:rsidP="003D1590">
      <w:pPr>
        <w:pStyle w:val="Evidence"/>
      </w:pPr>
      <w:r>
        <w:rPr>
          <w:noProof/>
        </w:rPr>
        <w:drawing>
          <wp:inline distT="0" distB="0" distL="0" distR="0" wp14:anchorId="03516C6F" wp14:editId="2A73663D">
            <wp:extent cx="3784855" cy="31623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637" cy="3179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2E52B" w14:textId="034CA600" w:rsidR="00951748" w:rsidRDefault="00951748" w:rsidP="00951748">
      <w:pPr>
        <w:pStyle w:val="Contention2"/>
      </w:pPr>
      <w:bookmarkStart w:id="5" w:name="_Toc31382888"/>
      <w:r>
        <w:lastRenderedPageBreak/>
        <w:t>Just for background/context:  The case quoted above is about property being taken for a natural gas pipeline</w:t>
      </w:r>
      <w:bookmarkEnd w:id="5"/>
    </w:p>
    <w:p w14:paraId="2CAF20D2" w14:textId="77777777" w:rsidR="00951748" w:rsidRDefault="00951748" w:rsidP="00951748">
      <w:pPr>
        <w:pStyle w:val="Citation3"/>
      </w:pPr>
      <w:r w:rsidRPr="003D1590">
        <w:rPr>
          <w:u w:val="single"/>
        </w:rPr>
        <w:t>US Court of Appeals for the District of Columbia Circuit 2019</w:t>
      </w:r>
      <w:r>
        <w:t xml:space="preserve">. (decision rendered by federal judges: Merrick Garland, David Tatel and Patricia Millett) 2 Aug 2019 decision of the court in the case of  Allegheny Defense Project v. Federal Energy Regulatory Commission </w:t>
      </w:r>
      <w:r w:rsidRPr="003D1590">
        <w:t>https://www.cadc.uscourts.gov/internet/opinions.nsf/30B53884136CA8FA8525844A00507160/$file/17-1098-1800392.pdf</w:t>
      </w:r>
    </w:p>
    <w:p w14:paraId="53C8C904" w14:textId="7E6599E1" w:rsidR="00951748" w:rsidRDefault="00951748" w:rsidP="00951748">
      <w:pPr>
        <w:pStyle w:val="Evidence"/>
      </w:pPr>
      <w:r>
        <w:rPr>
          <w:noProof/>
        </w:rPr>
        <w:drawing>
          <wp:inline distT="0" distB="0" distL="0" distR="0" wp14:anchorId="7240C377" wp14:editId="38712D0D">
            <wp:extent cx="3905250" cy="1800793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231" cy="1820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0B630" w14:textId="57F8AEC5" w:rsidR="006C5222" w:rsidRDefault="00951748" w:rsidP="00951748">
      <w:pPr>
        <w:pStyle w:val="Contention1"/>
      </w:pPr>
      <w:bookmarkStart w:id="6" w:name="_Toc31382889"/>
      <w:r>
        <w:t xml:space="preserve">2.  </w:t>
      </w:r>
      <w:r w:rsidR="006C5222">
        <w:t>Take now / Pay later doesn’t violate anyone’s rights nor the Constitution</w:t>
      </w:r>
      <w:bookmarkEnd w:id="6"/>
    </w:p>
    <w:p w14:paraId="016E8C6F" w14:textId="67A93934" w:rsidR="006C5222" w:rsidRDefault="00063DD8" w:rsidP="00063DD8">
      <w:pPr>
        <w:pStyle w:val="Contention2"/>
      </w:pPr>
      <w:bookmarkStart w:id="7" w:name="_Toc31382890"/>
      <w:r>
        <w:t>Nothing in the law nor the Constitution that makes take now/pay later a problem</w:t>
      </w:r>
      <w:bookmarkEnd w:id="7"/>
    </w:p>
    <w:p w14:paraId="7831A665" w14:textId="21F46C3D" w:rsidR="00063DD8" w:rsidRDefault="00063DD8" w:rsidP="00063DD8">
      <w:pPr>
        <w:pStyle w:val="Citation3"/>
      </w:pPr>
      <w:r w:rsidRPr="00095ABD">
        <w:rPr>
          <w:u w:val="single"/>
        </w:rPr>
        <w:t>Wade Massie, Colin Wrabley, Nicolle Bagnell, Stefanie Burt 2019</w:t>
      </w:r>
      <w:r>
        <w:t xml:space="preserve"> (attorneys for Mountain ValleyPipeline) 22 Aug 2019 brief filed with the US Supreme Court in the case of Givens v. Mountain Valley Pipeline </w:t>
      </w:r>
      <w:hyperlink r:id="rId10" w:history="1">
        <w:r w:rsidRPr="00CF1AB6">
          <w:rPr>
            <w:rStyle w:val="Hyperlink"/>
          </w:rPr>
          <w:t>https://www.supremecourt.gov/DocketPDF/19/19-54/113255/20190822145651082_BIO%20Givens%20v.%20Mountain%20Valley%20Pipeline.pdf</w:t>
        </w:r>
      </w:hyperlink>
      <w:r>
        <w:t xml:space="preserve"> (brackets added)</w:t>
      </w:r>
    </w:p>
    <w:p w14:paraId="370018D1" w14:textId="2121D9B3" w:rsidR="00063DD8" w:rsidRDefault="00063DD8" w:rsidP="00063DD8">
      <w:pPr>
        <w:pStyle w:val="Evidence"/>
      </w:pPr>
      <w:r>
        <w:rPr>
          <w:noProof/>
        </w:rPr>
        <w:drawing>
          <wp:inline distT="0" distB="0" distL="0" distR="0" wp14:anchorId="530BA761" wp14:editId="599767FD">
            <wp:extent cx="5016981" cy="36099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741" cy="361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470C7" w14:textId="77777777" w:rsidR="006C5222" w:rsidRDefault="006C5222" w:rsidP="00951748">
      <w:pPr>
        <w:pStyle w:val="Contention1"/>
      </w:pPr>
    </w:p>
    <w:p w14:paraId="284B087B" w14:textId="3E5A5C93" w:rsidR="00951748" w:rsidRDefault="006C5222" w:rsidP="00951748">
      <w:pPr>
        <w:pStyle w:val="Contention1"/>
      </w:pPr>
      <w:bookmarkStart w:id="8" w:name="_Toc31382891"/>
      <w:r>
        <w:t xml:space="preserve">3.  </w:t>
      </w:r>
      <w:r w:rsidR="00951748">
        <w:t>Net benefits favor Status Quo</w:t>
      </w:r>
      <w:bookmarkEnd w:id="8"/>
    </w:p>
    <w:p w14:paraId="32406775" w14:textId="43225714" w:rsidR="00951748" w:rsidRDefault="00095ABD" w:rsidP="00951748">
      <w:pPr>
        <w:pStyle w:val="Contention2"/>
      </w:pPr>
      <w:bookmarkStart w:id="9" w:name="_Toc31382892"/>
      <w:r>
        <w:t>FERC finds:  Net benefits of the pipeline outweigh adverse impacts to the landowners</w:t>
      </w:r>
      <w:bookmarkEnd w:id="9"/>
    </w:p>
    <w:p w14:paraId="5843BE33" w14:textId="52E93A40" w:rsidR="00095ABD" w:rsidRDefault="00095ABD" w:rsidP="00095ABD">
      <w:pPr>
        <w:pStyle w:val="Citation3"/>
      </w:pPr>
      <w:r w:rsidRPr="00095ABD">
        <w:rPr>
          <w:u w:val="single"/>
        </w:rPr>
        <w:t>Wade Massie, Colin Wrabley, Nicolle Bagnell, Stefanie Burt 2019</w:t>
      </w:r>
      <w:r>
        <w:t xml:space="preserve"> (attorneys for Mountain ValleyPipeline) 22 Aug 2019 brief filed with the US Supreme Court in the case of Givens v. Mountain Valley Pipeline </w:t>
      </w:r>
      <w:r w:rsidRPr="00095ABD">
        <w:t>https://www.supremecourt.gov/DocketPDF/19/19-54/113255/20190822145651082_BIO%20Givens%20v.%20Mountain%20Valley%20Pipeline.pdf</w:t>
      </w:r>
    </w:p>
    <w:p w14:paraId="2203E0A6" w14:textId="17D9B3C6" w:rsidR="00951748" w:rsidRDefault="00951748" w:rsidP="00951748">
      <w:pPr>
        <w:pStyle w:val="Evidence"/>
      </w:pPr>
      <w:r>
        <w:rPr>
          <w:noProof/>
        </w:rPr>
        <w:drawing>
          <wp:inline distT="0" distB="0" distL="0" distR="0" wp14:anchorId="6786690F" wp14:editId="4010AEAA">
            <wp:extent cx="4019550" cy="26134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850" cy="262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D1795" w14:textId="7565162E" w:rsidR="00951748" w:rsidRDefault="00095ABD" w:rsidP="00095ABD">
      <w:pPr>
        <w:pStyle w:val="Contention1"/>
      </w:pPr>
      <w:r>
        <w:lastRenderedPageBreak/>
        <w:tab/>
      </w:r>
      <w:bookmarkStart w:id="10" w:name="_Toc31382893"/>
      <w:r w:rsidR="00063DD8">
        <w:t>4</w:t>
      </w:r>
      <w:r>
        <w:t>.  No financial loss to the landowners</w:t>
      </w:r>
      <w:bookmarkEnd w:id="10"/>
    </w:p>
    <w:p w14:paraId="6173949B" w14:textId="6A4E313F" w:rsidR="00095ABD" w:rsidRPr="006C5222" w:rsidRDefault="00095ABD" w:rsidP="006C5222">
      <w:pPr>
        <w:pStyle w:val="Constructive"/>
        <w:spacing w:line="240" w:lineRule="auto"/>
        <w:rPr>
          <w:b/>
        </w:rPr>
      </w:pPr>
      <w:r w:rsidRPr="006C5222">
        <w:rPr>
          <w:b/>
        </w:rPr>
        <w:t>[AFF will argue that the pipeline company grabs the land and the landowners wait forever to get their just compensation.   Take first, pay later.  But that’s not actually what happens…]</w:t>
      </w:r>
    </w:p>
    <w:p w14:paraId="423181D1" w14:textId="2A4163DF" w:rsidR="00095ABD" w:rsidRDefault="00095ABD" w:rsidP="00095ABD">
      <w:pPr>
        <w:pStyle w:val="Contention2"/>
      </w:pPr>
      <w:bookmarkStart w:id="11" w:name="_Toc31382894"/>
      <w:r>
        <w:t xml:space="preserve">The pipeline company has to </w:t>
      </w:r>
      <w:r w:rsidR="006C5222">
        <w:t>post a large deposit</w:t>
      </w:r>
      <w:r>
        <w:t>, and the landowners can use that money while the court cases continue</w:t>
      </w:r>
      <w:bookmarkEnd w:id="11"/>
    </w:p>
    <w:p w14:paraId="2D0CC256" w14:textId="50865687" w:rsidR="006C5222" w:rsidRDefault="006C5222" w:rsidP="006C5222">
      <w:pPr>
        <w:pStyle w:val="Citation3"/>
      </w:pPr>
      <w:r w:rsidRPr="00095ABD">
        <w:rPr>
          <w:u w:val="single"/>
        </w:rPr>
        <w:t>Wade Massie, Colin Wrabley, Nicolle Bagnell, Stefanie Burt 2019</w:t>
      </w:r>
      <w:r>
        <w:t xml:space="preserve"> (attorneys for Mountain ValleyPipeline) 22 Aug 2019 brief filed with the US Supreme Court in the case of Givens v. Mountain Valley Pipeline </w:t>
      </w:r>
      <w:hyperlink r:id="rId13" w:history="1">
        <w:r w:rsidRPr="00CF1AB6">
          <w:rPr>
            <w:rStyle w:val="Hyperlink"/>
          </w:rPr>
          <w:t>https://www.supremecourt.gov/DocketPDF/19/19-54/113255/20190822145651082_BIO%20Givens%20v.%20Mountain%20Valley%20Pipeline.pdf</w:t>
        </w:r>
      </w:hyperlink>
      <w:r>
        <w:br/>
        <w:t>(brackets added)</w:t>
      </w:r>
    </w:p>
    <w:p w14:paraId="4FA4FB18" w14:textId="736CC029" w:rsidR="00951748" w:rsidRDefault="00095ABD" w:rsidP="00095ABD">
      <w:pPr>
        <w:pStyle w:val="Evidence"/>
      </w:pPr>
      <w:r w:rsidRPr="00095ABD">
        <w:drawing>
          <wp:inline distT="0" distB="0" distL="0" distR="0" wp14:anchorId="59E8377C" wp14:editId="080FD77A">
            <wp:extent cx="5257800" cy="3538904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179" cy="3548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4CCAC" w14:textId="2D7504E2" w:rsidR="00CC610B" w:rsidRDefault="00CC610B" w:rsidP="00CC610B">
      <w:pPr>
        <w:pStyle w:val="Contention2"/>
      </w:pPr>
      <w:bookmarkStart w:id="12" w:name="_Toc31382895"/>
      <w:r>
        <w:lastRenderedPageBreak/>
        <w:t xml:space="preserve">Pipeline company </w:t>
      </w:r>
      <w:r w:rsidRPr="00CC610B">
        <w:rPr>
          <w:u w:val="single"/>
        </w:rPr>
        <w:t>cannot escape</w:t>
      </w:r>
      <w:r>
        <w:t xml:space="preserve"> obligation to pay the landowners – it’s guaranteed</w:t>
      </w:r>
      <w:bookmarkEnd w:id="12"/>
    </w:p>
    <w:p w14:paraId="59ACF028" w14:textId="77777777" w:rsidR="00CC610B" w:rsidRDefault="00CC610B" w:rsidP="00CC610B">
      <w:pPr>
        <w:pStyle w:val="Citation3"/>
      </w:pPr>
      <w:r w:rsidRPr="00095ABD">
        <w:rPr>
          <w:u w:val="single"/>
        </w:rPr>
        <w:t>Wade Massie, Colin Wrabley, Nicolle Bagnell, Stefanie Burt 2019</w:t>
      </w:r>
      <w:r>
        <w:t xml:space="preserve"> (attorneys for Mountain ValleyPipeline) 22 Aug 2019 brief filed with the US Supreme Court in the case of Givens v. Mountain Valley Pipeline </w:t>
      </w:r>
      <w:r w:rsidRPr="00095ABD">
        <w:t>https://www.supremecourt.gov/DocketPDF/19/19-54/113255/20190822145651082_BIO%20Givens%20v.%20Mountain%20Valley%20Pipeline.pdf</w:t>
      </w:r>
    </w:p>
    <w:p w14:paraId="2FFEDCD4" w14:textId="235F114F" w:rsidR="00CC610B" w:rsidRDefault="00CC610B" w:rsidP="00CC610B">
      <w:pPr>
        <w:pStyle w:val="Evidence"/>
      </w:pPr>
      <w:r>
        <w:rPr>
          <w:noProof/>
        </w:rPr>
        <w:drawing>
          <wp:inline distT="0" distB="0" distL="0" distR="0" wp14:anchorId="76C83979" wp14:editId="13FC4FDA">
            <wp:extent cx="3788712" cy="489585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491" cy="491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093B2" w14:textId="77777777" w:rsidR="00CC610B" w:rsidRDefault="00CC610B">
      <w:pPr>
        <w:spacing w:after="0" w:line="240" w:lineRule="auto"/>
        <w:rPr>
          <w:rFonts w:eastAsia="Times New Roman"/>
          <w:b/>
          <w:bCs/>
          <w:color w:val="000000"/>
          <w:sz w:val="20"/>
          <w:szCs w:val="20"/>
          <w:lang w:eastAsia="fr-FR"/>
        </w:rPr>
      </w:pPr>
      <w:r>
        <w:br w:type="page"/>
      </w:r>
    </w:p>
    <w:p w14:paraId="04FCF189" w14:textId="09DDE1EA" w:rsidR="00CB45CE" w:rsidRDefault="00B95E78" w:rsidP="00B95E78">
      <w:pPr>
        <w:pStyle w:val="Contention1"/>
      </w:pPr>
      <w:bookmarkStart w:id="13" w:name="_Toc31382896"/>
      <w:r>
        <w:lastRenderedPageBreak/>
        <w:t>DISADVANTAGES</w:t>
      </w:r>
      <w:bookmarkEnd w:id="13"/>
    </w:p>
    <w:p w14:paraId="37D888D6" w14:textId="6757332A" w:rsidR="00EA565D" w:rsidRDefault="00CC610B" w:rsidP="00CC610B">
      <w:pPr>
        <w:pStyle w:val="Contention1"/>
      </w:pPr>
      <w:bookmarkStart w:id="14" w:name="_Toc31382897"/>
      <w:r>
        <w:t>1.  More dangerous transportation of natural gas</w:t>
      </w:r>
      <w:bookmarkEnd w:id="14"/>
    </w:p>
    <w:p w14:paraId="1752D263" w14:textId="7340204D" w:rsidR="00CC610B" w:rsidRDefault="00CC610B" w:rsidP="00CC610B">
      <w:pPr>
        <w:pStyle w:val="Contention2"/>
      </w:pPr>
      <w:bookmarkStart w:id="15" w:name="_Toc31382898"/>
      <w:r>
        <w:t>Link:  AFF slows down or blocks the development of natural gas pipelines</w:t>
      </w:r>
      <w:bookmarkEnd w:id="15"/>
    </w:p>
    <w:p w14:paraId="7E242813" w14:textId="568FE87B" w:rsidR="00CC610B" w:rsidRDefault="00CC610B" w:rsidP="00CC610B">
      <w:pPr>
        <w:pStyle w:val="Evidence"/>
      </w:pPr>
      <w:r>
        <w:t xml:space="preserve">When you repeal something that’s “Quick” it automatically goes slower or stops. </w:t>
      </w:r>
    </w:p>
    <w:p w14:paraId="69D68AC0" w14:textId="4C5CA5BF" w:rsidR="00CC610B" w:rsidRDefault="00CC610B" w:rsidP="00CC610B">
      <w:pPr>
        <w:pStyle w:val="Contention2"/>
      </w:pPr>
      <w:bookmarkStart w:id="16" w:name="_Toc31382899"/>
      <w:r>
        <w:t>Link:  Rail and trucks are the alternatives that will be used instead of pipelines for natural gas</w:t>
      </w:r>
      <w:bookmarkEnd w:id="16"/>
    </w:p>
    <w:p w14:paraId="194F7C49" w14:textId="12106EAA" w:rsidR="00CC610B" w:rsidRPr="00CC610B" w:rsidRDefault="00CC610B" w:rsidP="00CC610B">
      <w:pPr>
        <w:pStyle w:val="Citation3"/>
      </w:pPr>
      <w:r w:rsidRPr="00CC610B">
        <w:rPr>
          <w:u w:val="single"/>
        </w:rPr>
        <w:t>Energy Services South 2013</w:t>
      </w:r>
      <w:r w:rsidRPr="00CC610B">
        <w:t>. (</w:t>
      </w:r>
      <w:r>
        <w:t>pipeline contracting company</w:t>
      </w:r>
      <w:r w:rsidRPr="00CC610B">
        <w:t xml:space="preserve">) “PIPELINES VS RAIL TRANSPORT FOR NATURAL GAS” </w:t>
      </w:r>
      <w:r>
        <w:t xml:space="preserve">(ethical disclosure – the article is undated but references material published in 2013 and none later) </w:t>
      </w:r>
      <w:hyperlink r:id="rId16" w:history="1">
        <w:r w:rsidRPr="00CC610B">
          <w:rPr>
            <w:rStyle w:val="Hyperlink"/>
            <w:color w:val="auto"/>
            <w:u w:val="none"/>
          </w:rPr>
          <w:t>https://energyservicessouth.com/pipelines-vs-rail-transport-for-natural-gas/</w:t>
        </w:r>
      </w:hyperlink>
    </w:p>
    <w:p w14:paraId="37C5128B" w14:textId="20412329" w:rsidR="00CC610B" w:rsidRPr="00CC610B" w:rsidRDefault="00CC610B" w:rsidP="00CC610B">
      <w:pPr>
        <w:pStyle w:val="Evidence"/>
      </w:pPr>
      <w:r w:rsidRPr="00CC610B">
        <w:t>To relieve pressure on the pipeline infrastructure, natural gas transportation by way of rail and truck has grown in the past few years. According to the </w:t>
      </w:r>
      <w:hyperlink r:id="rId17" w:history="1">
        <w:r w:rsidRPr="00CC610B">
          <w:rPr>
            <w:rStyle w:val="Hyperlink"/>
            <w:color w:val="000000"/>
            <w:u w:val="none"/>
          </w:rPr>
          <w:t>Association of American Railroads</w:t>
        </w:r>
      </w:hyperlink>
      <w:r w:rsidRPr="00CC610B">
        <w:t>, oil and gas shipments via rail have increased from 2 percent of all carloads to 11 percent. In 2011, rail transportation tripled in the Bakken area.</w:t>
      </w:r>
    </w:p>
    <w:p w14:paraId="1F2933AB" w14:textId="360FE7D4" w:rsidR="00CC610B" w:rsidRDefault="00482315" w:rsidP="00CC610B">
      <w:pPr>
        <w:pStyle w:val="Contention2"/>
      </w:pPr>
      <w:bookmarkStart w:id="17" w:name="_Toc31382900"/>
      <w:r>
        <w:t>Impact</w:t>
      </w:r>
      <w:r w:rsidR="00CC610B">
        <w:t xml:space="preserve">:  </w:t>
      </w:r>
      <w:r>
        <w:t xml:space="preserve">More people die.  </w:t>
      </w:r>
      <w:r w:rsidR="00CC610B">
        <w:t>Pipelines are the safest way to transport natural gas</w:t>
      </w:r>
      <w:r>
        <w:t xml:space="preserve">. Fatality rates go up with other </w:t>
      </w:r>
      <w:r w:rsidR="009F73A0">
        <w:t>systems</w:t>
      </w:r>
      <w:bookmarkEnd w:id="17"/>
    </w:p>
    <w:p w14:paraId="4FDC7B6A" w14:textId="1F2E9379" w:rsidR="00482315" w:rsidRPr="00482315" w:rsidRDefault="00482315" w:rsidP="00482315">
      <w:pPr>
        <w:pStyle w:val="Citation3"/>
      </w:pPr>
      <w:hyperlink r:id="rId18" w:history="1">
        <w:r w:rsidRPr="00482315">
          <w:rPr>
            <w:rStyle w:val="name"/>
            <w:u w:val="single"/>
          </w:rPr>
          <w:t>Diana Furchtgott-Roth</w:t>
        </w:r>
      </w:hyperlink>
      <w:r w:rsidRPr="00482315">
        <w:rPr>
          <w:u w:val="single"/>
        </w:rPr>
        <w:t xml:space="preserve"> 2013</w:t>
      </w:r>
      <w:r w:rsidRPr="00482315">
        <w:t xml:space="preserve"> (senior fellow and director of Economics21 at the </w:t>
      </w:r>
      <w:hyperlink r:id="rId19" w:tooltip="Manhattan Institute for Policy Research" w:history="1">
        <w:r w:rsidRPr="00482315">
          <w:rPr>
            <w:rStyle w:val="Hyperlink"/>
            <w:color w:val="auto"/>
            <w:u w:val="none"/>
          </w:rPr>
          <w:t>Manhattan Institute for Policy Research</w:t>
        </w:r>
      </w:hyperlink>
      <w:r w:rsidRPr="00482315">
        <w:t> and adjunct professor of economics at </w:t>
      </w:r>
      <w:hyperlink r:id="rId20" w:tooltip="George Washington University" w:history="1">
        <w:r w:rsidRPr="00482315">
          <w:rPr>
            <w:rStyle w:val="Hyperlink"/>
            <w:color w:val="auto"/>
            <w:u w:val="none"/>
          </w:rPr>
          <w:t>George Washington University</w:t>
        </w:r>
      </w:hyperlink>
      <w:r w:rsidRPr="00482315">
        <w:t xml:space="preserve">) </w:t>
      </w:r>
      <w:r w:rsidRPr="00482315">
        <w:rPr>
          <w:rStyle w:val="date"/>
        </w:rPr>
        <w:t xml:space="preserve">June 6, 2013 </w:t>
      </w:r>
      <w:r w:rsidRPr="00482315">
        <w:t xml:space="preserve">Pipelines Are Safest For Transportation of Oil and Gas  </w:t>
      </w:r>
      <w:hyperlink r:id="rId21" w:history="1">
        <w:r w:rsidRPr="00482315">
          <w:rPr>
            <w:rStyle w:val="Hyperlink"/>
            <w:color w:val="auto"/>
            <w:u w:val="none"/>
          </w:rPr>
          <w:t>https://www.manhattan-institute.org/html/pipelines-are-safest-transportation-oil-and-gas-5716.html</w:t>
        </w:r>
      </w:hyperlink>
    </w:p>
    <w:p w14:paraId="17843B1B" w14:textId="04A40302" w:rsidR="00CC610B" w:rsidRPr="00CC610B" w:rsidRDefault="00482315" w:rsidP="00482315">
      <w:pPr>
        <w:pStyle w:val="Evidence"/>
      </w:pPr>
      <w:r>
        <w:rPr>
          <w:noProof/>
        </w:rPr>
        <w:drawing>
          <wp:inline distT="0" distB="0" distL="0" distR="0" wp14:anchorId="1F239E91" wp14:editId="63531045">
            <wp:extent cx="2676525" cy="39528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610B" w:rsidRPr="00CC610B" w:rsidSect="00F04C23">
      <w:headerReference w:type="default" r:id="rId23"/>
      <w:footerReference w:type="default" r:id="rId2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BFAD2" w14:textId="77777777" w:rsidR="00F93850" w:rsidRDefault="00F93850" w:rsidP="001D5FD6">
      <w:pPr>
        <w:spacing w:after="0" w:line="240" w:lineRule="auto"/>
      </w:pPr>
      <w:r>
        <w:separator/>
      </w:r>
    </w:p>
    <w:p w14:paraId="1C321405" w14:textId="77777777" w:rsidR="00F93850" w:rsidRDefault="00F93850"/>
    <w:p w14:paraId="4836D377" w14:textId="77777777" w:rsidR="00F93850" w:rsidRDefault="00F93850"/>
  </w:endnote>
  <w:endnote w:type="continuationSeparator" w:id="0">
    <w:p w14:paraId="1D7D5CA7" w14:textId="77777777" w:rsidR="00F93850" w:rsidRDefault="00F93850" w:rsidP="001D5FD6">
      <w:pPr>
        <w:spacing w:after="0" w:line="240" w:lineRule="auto"/>
      </w:pPr>
      <w:r>
        <w:continuationSeparator/>
      </w:r>
    </w:p>
    <w:p w14:paraId="6D583461" w14:textId="77777777" w:rsidR="00F93850" w:rsidRDefault="00F93850"/>
    <w:p w14:paraId="6BDE528A" w14:textId="77777777" w:rsidR="00F93850" w:rsidRDefault="00F93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ramon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82047" w14:textId="3B72E33B" w:rsidR="004F480A" w:rsidRDefault="004F480A" w:rsidP="00303BC4">
    <w:pPr>
      <w:pStyle w:val="Footer"/>
      <w:tabs>
        <w:tab w:val="clear" w:pos="4320"/>
        <w:tab w:val="clear" w:pos="8640"/>
        <w:tab w:val="center" w:pos="4680"/>
        <w:tab w:val="center" w:pos="9270"/>
      </w:tabs>
      <w:spacing w:before="240"/>
      <w:ind w:left="-720" w:right="-720"/>
      <w:jc w:val="left"/>
      <w:rPr>
        <w:sz w:val="18"/>
        <w:szCs w:val="18"/>
      </w:rPr>
    </w:pPr>
    <w:r>
      <w:rPr>
        <w:sz w:val="18"/>
        <w:szCs w:val="18"/>
      </w:rPr>
      <w:t xml:space="preserve">Copyright </w:t>
    </w:r>
    <w:r w:rsidRPr="0018486A">
      <w:rPr>
        <w:sz w:val="18"/>
        <w:szCs w:val="18"/>
      </w:rPr>
      <w:t>©</w:t>
    </w:r>
    <w:r w:rsidR="006616AA">
      <w:rPr>
        <w:sz w:val="18"/>
        <w:szCs w:val="18"/>
      </w:rPr>
      <w:t>2020</w:t>
    </w:r>
    <w:r w:rsidRPr="0018486A">
      <w:rPr>
        <w:sz w:val="18"/>
        <w:szCs w:val="18"/>
      </w:rPr>
      <w:t xml:space="preserve"> Monument Publishing</w:t>
    </w:r>
    <w:r>
      <w:tab/>
    </w:r>
    <w:r w:rsidRPr="0018486A">
      <w:rPr>
        <w:sz w:val="24"/>
        <w:szCs w:val="24"/>
      </w:rPr>
      <w:t xml:space="preserve">Page </w:t>
    </w:r>
    <w:r w:rsidRPr="0018486A">
      <w:rPr>
        <w:b w:val="0"/>
        <w:sz w:val="24"/>
        <w:szCs w:val="24"/>
      </w:rPr>
      <w:fldChar w:fldCharType="begin"/>
    </w:r>
    <w:r w:rsidRPr="0018486A">
      <w:rPr>
        <w:sz w:val="24"/>
        <w:szCs w:val="24"/>
      </w:rPr>
      <w:instrText xml:space="preserve"> PAGE </w:instrText>
    </w:r>
    <w:r w:rsidRPr="0018486A">
      <w:rPr>
        <w:b w:val="0"/>
        <w:sz w:val="24"/>
        <w:szCs w:val="24"/>
      </w:rPr>
      <w:fldChar w:fldCharType="separate"/>
    </w:r>
    <w:r w:rsidR="009F73A0">
      <w:rPr>
        <w:noProof/>
        <w:sz w:val="24"/>
        <w:szCs w:val="24"/>
      </w:rPr>
      <w:t>1</w:t>
    </w:r>
    <w:r w:rsidRPr="0018486A">
      <w:rPr>
        <w:b w:val="0"/>
        <w:sz w:val="24"/>
        <w:szCs w:val="24"/>
      </w:rPr>
      <w:fldChar w:fldCharType="end"/>
    </w:r>
    <w:r w:rsidRPr="0018486A">
      <w:rPr>
        <w:sz w:val="24"/>
        <w:szCs w:val="24"/>
      </w:rPr>
      <w:t xml:space="preserve"> of </w:t>
    </w:r>
    <w:r w:rsidRPr="0018486A">
      <w:rPr>
        <w:b w:val="0"/>
        <w:sz w:val="24"/>
        <w:szCs w:val="24"/>
      </w:rPr>
      <w:fldChar w:fldCharType="begin"/>
    </w:r>
    <w:r w:rsidRPr="0018486A">
      <w:rPr>
        <w:sz w:val="24"/>
        <w:szCs w:val="24"/>
      </w:rPr>
      <w:instrText xml:space="preserve"> NUMPAGES </w:instrText>
    </w:r>
    <w:r w:rsidRPr="0018486A">
      <w:rPr>
        <w:b w:val="0"/>
        <w:sz w:val="24"/>
        <w:szCs w:val="24"/>
      </w:rPr>
      <w:fldChar w:fldCharType="separate"/>
    </w:r>
    <w:r w:rsidR="009F73A0">
      <w:rPr>
        <w:noProof/>
        <w:sz w:val="24"/>
        <w:szCs w:val="24"/>
      </w:rPr>
      <w:t>7</w:t>
    </w:r>
    <w:r w:rsidRPr="0018486A">
      <w:rPr>
        <w:b w:val="0"/>
        <w:sz w:val="24"/>
        <w:szCs w:val="24"/>
      </w:rPr>
      <w:fldChar w:fldCharType="end"/>
    </w:r>
    <w:r>
      <w:tab/>
    </w:r>
    <w:r w:rsidRPr="0018486A">
      <w:rPr>
        <w:sz w:val="18"/>
        <w:szCs w:val="18"/>
      </w:rPr>
      <w:t xml:space="preserve"> </w:t>
    </w:r>
    <w:r>
      <w:rPr>
        <w:sz w:val="18"/>
        <w:szCs w:val="18"/>
      </w:rPr>
      <w:t>MonumentMembers.com</w:t>
    </w:r>
  </w:p>
  <w:p w14:paraId="030B3577" w14:textId="77777777" w:rsidR="004F480A" w:rsidRDefault="004F480A" w:rsidP="00303BC4">
    <w:pPr>
      <w:pStyle w:val="Footer"/>
      <w:tabs>
        <w:tab w:val="clear" w:pos="4320"/>
        <w:tab w:val="clear" w:pos="8640"/>
        <w:tab w:val="center" w:pos="4680"/>
        <w:tab w:val="right" w:pos="9360"/>
      </w:tabs>
      <w:ind w:left="-720" w:right="-720"/>
      <w:jc w:val="left"/>
      <w:rPr>
        <w:b w:val="0"/>
        <w:i/>
        <w:smallCaps w:val="0"/>
        <w:sz w:val="15"/>
        <w:szCs w:val="15"/>
      </w:rPr>
    </w:pPr>
  </w:p>
  <w:p w14:paraId="0AC84549" w14:textId="12E15141" w:rsidR="004F480A" w:rsidRPr="00303BC4" w:rsidRDefault="004F480A" w:rsidP="00303BC4">
    <w:pPr>
      <w:pStyle w:val="Footer"/>
      <w:tabs>
        <w:tab w:val="clear" w:pos="4320"/>
        <w:tab w:val="center" w:pos="4230"/>
      </w:tabs>
      <w:ind w:left="-720" w:right="-720"/>
      <w:rPr>
        <w:sz w:val="18"/>
        <w:szCs w:val="18"/>
      </w:rPr>
    </w:pPr>
    <w:r w:rsidRPr="00B441D5">
      <w:rPr>
        <w:b w:val="0"/>
        <w:i/>
        <w:smallCaps w:val="0"/>
        <w:sz w:val="15"/>
        <w:szCs w:val="15"/>
      </w:rPr>
      <w:t xml:space="preserve">This release was published as part of Season </w:t>
    </w:r>
    <w:r>
      <w:rPr>
        <w:b w:val="0"/>
        <w:i/>
        <w:smallCaps w:val="0"/>
        <w:sz w:val="15"/>
        <w:szCs w:val="15"/>
      </w:rPr>
      <w:t>19</w:t>
    </w:r>
    <w:r w:rsidRPr="00B441D5">
      <w:rPr>
        <w:b w:val="0"/>
        <w:i/>
        <w:smallCaps w:val="0"/>
        <w:sz w:val="15"/>
        <w:szCs w:val="15"/>
      </w:rPr>
      <w:t xml:space="preserve"> (201</w:t>
    </w:r>
    <w:r>
      <w:rPr>
        <w:b w:val="0"/>
        <w:i/>
        <w:smallCaps w:val="0"/>
        <w:sz w:val="15"/>
        <w:szCs w:val="15"/>
      </w:rPr>
      <w:t>8</w:t>
    </w:r>
    <w:r w:rsidRPr="00B441D5">
      <w:rPr>
        <w:b w:val="0"/>
        <w:i/>
        <w:smallCaps w:val="0"/>
        <w:sz w:val="15"/>
        <w:szCs w:val="15"/>
      </w:rPr>
      <w:t>-201</w:t>
    </w:r>
    <w:r>
      <w:rPr>
        <w:b w:val="0"/>
        <w:i/>
        <w:smallCaps w:val="0"/>
        <w:sz w:val="15"/>
        <w:szCs w:val="15"/>
      </w:rPr>
      <w:t>9</w:t>
    </w:r>
    <w:r w:rsidRPr="00B441D5">
      <w:rPr>
        <w:b w:val="0"/>
        <w:i/>
        <w:smallCaps w:val="0"/>
        <w:sz w:val="15"/>
        <w:szCs w:val="15"/>
      </w:rPr>
      <w:t xml:space="preserve">) school year for </w:t>
    </w:r>
    <w:r>
      <w:rPr>
        <w:b w:val="0"/>
        <w:i/>
        <w:smallCaps w:val="0"/>
        <w:sz w:val="15"/>
        <w:szCs w:val="15"/>
      </w:rPr>
      <w:t>member d</w:t>
    </w:r>
    <w:r w:rsidRPr="00B441D5">
      <w:rPr>
        <w:b w:val="0"/>
        <w:i/>
        <w:smallCaps w:val="0"/>
        <w:sz w:val="15"/>
        <w:szCs w:val="15"/>
      </w:rPr>
      <w:t xml:space="preserve">ebaters. </w:t>
    </w:r>
    <w:r>
      <w:rPr>
        <w:b w:val="0"/>
        <w:i/>
        <w:smallCaps w:val="0"/>
        <w:sz w:val="15"/>
        <w:szCs w:val="15"/>
      </w:rPr>
      <w:t xml:space="preserve">See the member landing page for official release date and any notifications. </w:t>
    </w:r>
    <w:r w:rsidRPr="00B441D5">
      <w:rPr>
        <w:b w:val="0"/>
        <w:i/>
        <w:smallCaps w:val="0"/>
        <w:sz w:val="15"/>
        <w:szCs w:val="15"/>
      </w:rPr>
      <w:t xml:space="preserve">This is proprietary intellectual content and may not be </w:t>
    </w:r>
    <w:r>
      <w:rPr>
        <w:b w:val="0"/>
        <w:i/>
        <w:smallCaps w:val="0"/>
        <w:sz w:val="15"/>
        <w:szCs w:val="15"/>
      </w:rPr>
      <w:t xml:space="preserve">used </w:t>
    </w:r>
    <w:r w:rsidRPr="00B441D5">
      <w:rPr>
        <w:b w:val="0"/>
        <w:i/>
        <w:smallCaps w:val="0"/>
        <w:sz w:val="15"/>
        <w:szCs w:val="15"/>
      </w:rPr>
      <w:t>without proper ownership.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B87DE" w14:textId="77777777" w:rsidR="00F93850" w:rsidRDefault="00F93850" w:rsidP="001D5FD6">
      <w:pPr>
        <w:spacing w:after="0" w:line="240" w:lineRule="auto"/>
      </w:pPr>
      <w:r>
        <w:separator/>
      </w:r>
    </w:p>
    <w:p w14:paraId="542815A1" w14:textId="77777777" w:rsidR="00F93850" w:rsidRDefault="00F93850"/>
    <w:p w14:paraId="20D2B45B" w14:textId="77777777" w:rsidR="00F93850" w:rsidRDefault="00F93850"/>
  </w:footnote>
  <w:footnote w:type="continuationSeparator" w:id="0">
    <w:p w14:paraId="7F67AD4E" w14:textId="77777777" w:rsidR="00F93850" w:rsidRDefault="00F93850" w:rsidP="001D5FD6">
      <w:pPr>
        <w:spacing w:after="0" w:line="240" w:lineRule="auto"/>
      </w:pPr>
      <w:r>
        <w:continuationSeparator/>
      </w:r>
    </w:p>
    <w:p w14:paraId="477087F7" w14:textId="77777777" w:rsidR="00F93850" w:rsidRDefault="00F93850"/>
    <w:p w14:paraId="431CE7AC" w14:textId="77777777" w:rsidR="00F93850" w:rsidRDefault="00F938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4BB00" w14:textId="31DAB3CA" w:rsidR="004F480A" w:rsidRDefault="004F480A" w:rsidP="00934A35">
    <w:pPr>
      <w:pStyle w:val="Footer"/>
    </w:pPr>
    <w:r>
      <w:t xml:space="preserve">Negative:  </w:t>
    </w:r>
    <w:r w:rsidR="006616AA">
      <w:t>Quick Take – not a problem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E1C01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FC0E0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3EEA018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D98D4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C64CD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D14CF8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37C076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C32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6E4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1F4C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2E86D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B5E4737"/>
    <w:multiLevelType w:val="hybridMultilevel"/>
    <w:tmpl w:val="76889C1A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2" w15:restartNumberingAfterBreak="0">
    <w:nsid w:val="0BDE7776"/>
    <w:multiLevelType w:val="hybridMultilevel"/>
    <w:tmpl w:val="6FA0E2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F090CB7"/>
    <w:multiLevelType w:val="multilevel"/>
    <w:tmpl w:val="022A5A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10BC3F0C"/>
    <w:multiLevelType w:val="hybridMultilevel"/>
    <w:tmpl w:val="E312B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751ED6"/>
    <w:multiLevelType w:val="hybridMultilevel"/>
    <w:tmpl w:val="FE8CF494"/>
    <w:lvl w:ilvl="0" w:tplc="6C1A922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6" w15:restartNumberingAfterBreak="0">
    <w:nsid w:val="157D21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0620AC6"/>
    <w:multiLevelType w:val="hybridMultilevel"/>
    <w:tmpl w:val="86864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44101"/>
    <w:multiLevelType w:val="hybridMultilevel"/>
    <w:tmpl w:val="FF00443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2C9E59D6"/>
    <w:multiLevelType w:val="hybridMultilevel"/>
    <w:tmpl w:val="022A5A46"/>
    <w:lvl w:ilvl="0" w:tplc="EC3E96F0">
      <w:start w:val="1"/>
      <w:numFmt w:val="decimal"/>
      <w:pStyle w:val="TOC4"/>
      <w:lvlText w:val="%1.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2E7C16C5"/>
    <w:multiLevelType w:val="hybridMultilevel"/>
    <w:tmpl w:val="8DB27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552EF"/>
    <w:multiLevelType w:val="hybridMultilevel"/>
    <w:tmpl w:val="A036E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C64C97"/>
    <w:multiLevelType w:val="multilevel"/>
    <w:tmpl w:val="1B70168C"/>
    <w:lvl w:ilvl="0">
      <w:start w:val="1"/>
      <w:numFmt w:val="decimal"/>
      <w:lvlText w:val="%1."/>
      <w:lvlJc w:val="left"/>
      <w:pPr>
        <w:ind w:left="1380" w:hanging="360"/>
      </w:p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9C26119"/>
    <w:multiLevelType w:val="hybridMultilevel"/>
    <w:tmpl w:val="A9FEFE46"/>
    <w:lvl w:ilvl="0" w:tplc="C2887BB8">
      <w:start w:val="5"/>
      <w:numFmt w:val="bullet"/>
      <w:lvlText w:val="-"/>
      <w:lvlJc w:val="left"/>
      <w:pPr>
        <w:ind w:left="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4A124F8E"/>
    <w:multiLevelType w:val="hybridMultilevel"/>
    <w:tmpl w:val="BBECB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E6040"/>
    <w:multiLevelType w:val="hybridMultilevel"/>
    <w:tmpl w:val="74C0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67290"/>
    <w:multiLevelType w:val="multilevel"/>
    <w:tmpl w:val="AC0E462C"/>
    <w:lvl w:ilvl="0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595C5D9B"/>
    <w:multiLevelType w:val="hybridMultilevel"/>
    <w:tmpl w:val="170A4D44"/>
    <w:lvl w:ilvl="0" w:tplc="A19086AC">
      <w:start w:val="1"/>
      <w:numFmt w:val="upperLetter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8" w15:restartNumberingAfterBreak="0">
    <w:nsid w:val="5CA448F9"/>
    <w:multiLevelType w:val="hybridMultilevel"/>
    <w:tmpl w:val="88688762"/>
    <w:lvl w:ilvl="0" w:tplc="A9B87994">
      <w:start w:val="1"/>
      <w:numFmt w:val="decimal"/>
      <w:pStyle w:val="Index4"/>
      <w:lvlText w:val="%1."/>
      <w:lvlJc w:val="left"/>
      <w:pPr>
        <w:ind w:left="10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84650"/>
    <w:multiLevelType w:val="hybridMultilevel"/>
    <w:tmpl w:val="C40EF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F743B"/>
    <w:multiLevelType w:val="hybridMultilevel"/>
    <w:tmpl w:val="AB3EE570"/>
    <w:lvl w:ilvl="0" w:tplc="A36CEC38">
      <w:start w:val="1"/>
      <w:numFmt w:val="decimal"/>
      <w:pStyle w:val="Case"/>
      <w:lvlText w:val="%1."/>
      <w:lvlJc w:val="left"/>
      <w:pPr>
        <w:ind w:left="576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C55E4"/>
    <w:multiLevelType w:val="hybridMultilevel"/>
    <w:tmpl w:val="CB0AC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345528"/>
    <w:multiLevelType w:val="hybridMultilevel"/>
    <w:tmpl w:val="AC0E462C"/>
    <w:lvl w:ilvl="0" w:tplc="8424EEF6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3" w15:restartNumberingAfterBreak="0">
    <w:nsid w:val="77A65A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B44390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7D7A763C"/>
    <w:multiLevelType w:val="hybridMultilevel"/>
    <w:tmpl w:val="4306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9"/>
  </w:num>
  <w:num w:numId="3">
    <w:abstractNumId w:val="14"/>
  </w:num>
  <w:num w:numId="4">
    <w:abstractNumId w:val="18"/>
  </w:num>
  <w:num w:numId="5">
    <w:abstractNumId w:val="33"/>
  </w:num>
  <w:num w:numId="6">
    <w:abstractNumId w:val="16"/>
  </w:num>
  <w:num w:numId="7">
    <w:abstractNumId w:val="34"/>
  </w:num>
  <w:num w:numId="8">
    <w:abstractNumId w:val="30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9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32"/>
  </w:num>
  <w:num w:numId="20">
    <w:abstractNumId w:val="26"/>
  </w:num>
  <w:num w:numId="21">
    <w:abstractNumId w:val="17"/>
  </w:num>
  <w:num w:numId="22">
    <w:abstractNumId w:val="11"/>
  </w:num>
  <w:num w:numId="23">
    <w:abstractNumId w:val="15"/>
  </w:num>
  <w:num w:numId="24">
    <w:abstractNumId w:val="12"/>
  </w:num>
  <w:num w:numId="25">
    <w:abstractNumId w:val="0"/>
  </w:num>
  <w:num w:numId="26">
    <w:abstractNumId w:val="23"/>
  </w:num>
  <w:num w:numId="27">
    <w:abstractNumId w:val="21"/>
  </w:num>
  <w:num w:numId="28">
    <w:abstractNumId w:val="31"/>
  </w:num>
  <w:num w:numId="29">
    <w:abstractNumId w:val="19"/>
  </w:num>
  <w:num w:numId="30">
    <w:abstractNumId w:val="22"/>
  </w:num>
  <w:num w:numId="31">
    <w:abstractNumId w:val="13"/>
  </w:num>
  <w:num w:numId="32">
    <w:abstractNumId w:val="28"/>
  </w:num>
  <w:num w:numId="33">
    <w:abstractNumId w:val="35"/>
  </w:num>
  <w:num w:numId="34">
    <w:abstractNumId w:val="25"/>
  </w:num>
  <w:num w:numId="35">
    <w:abstractNumId w:val="20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4B"/>
    <w:rsid w:val="00005181"/>
    <w:rsid w:val="00011BF9"/>
    <w:rsid w:val="00017724"/>
    <w:rsid w:val="00021077"/>
    <w:rsid w:val="00026F23"/>
    <w:rsid w:val="00037367"/>
    <w:rsid w:val="00037C74"/>
    <w:rsid w:val="000437AC"/>
    <w:rsid w:val="000519FE"/>
    <w:rsid w:val="000608E1"/>
    <w:rsid w:val="00063DD8"/>
    <w:rsid w:val="0007056F"/>
    <w:rsid w:val="0007566D"/>
    <w:rsid w:val="000815E1"/>
    <w:rsid w:val="0008580D"/>
    <w:rsid w:val="0008674B"/>
    <w:rsid w:val="0009425D"/>
    <w:rsid w:val="000948EB"/>
    <w:rsid w:val="00095ABD"/>
    <w:rsid w:val="0009716A"/>
    <w:rsid w:val="000A2CDB"/>
    <w:rsid w:val="000A7A9D"/>
    <w:rsid w:val="000B0848"/>
    <w:rsid w:val="000B2B29"/>
    <w:rsid w:val="000B3CC7"/>
    <w:rsid w:val="000B504C"/>
    <w:rsid w:val="000C0767"/>
    <w:rsid w:val="000C54F8"/>
    <w:rsid w:val="000C7058"/>
    <w:rsid w:val="000D3779"/>
    <w:rsid w:val="000D5C9A"/>
    <w:rsid w:val="000E04AA"/>
    <w:rsid w:val="000E63C4"/>
    <w:rsid w:val="000F24E5"/>
    <w:rsid w:val="000F546C"/>
    <w:rsid w:val="000F5B0E"/>
    <w:rsid w:val="000F5B6C"/>
    <w:rsid w:val="0010109F"/>
    <w:rsid w:val="00105BD1"/>
    <w:rsid w:val="001167F7"/>
    <w:rsid w:val="001258E6"/>
    <w:rsid w:val="0013546D"/>
    <w:rsid w:val="001361FB"/>
    <w:rsid w:val="0013662E"/>
    <w:rsid w:val="001410FB"/>
    <w:rsid w:val="001510AA"/>
    <w:rsid w:val="0015488C"/>
    <w:rsid w:val="0017181C"/>
    <w:rsid w:val="00190F49"/>
    <w:rsid w:val="00196952"/>
    <w:rsid w:val="001A391C"/>
    <w:rsid w:val="001B60B3"/>
    <w:rsid w:val="001C036D"/>
    <w:rsid w:val="001C1467"/>
    <w:rsid w:val="001D2C8F"/>
    <w:rsid w:val="001D5FD6"/>
    <w:rsid w:val="001E04DC"/>
    <w:rsid w:val="001E34BC"/>
    <w:rsid w:val="001F0ADE"/>
    <w:rsid w:val="001F6768"/>
    <w:rsid w:val="00200E60"/>
    <w:rsid w:val="0020276C"/>
    <w:rsid w:val="00202C7B"/>
    <w:rsid w:val="00211112"/>
    <w:rsid w:val="00213EE2"/>
    <w:rsid w:val="00227538"/>
    <w:rsid w:val="002331A9"/>
    <w:rsid w:val="00236F83"/>
    <w:rsid w:val="002438CB"/>
    <w:rsid w:val="002558C7"/>
    <w:rsid w:val="00265032"/>
    <w:rsid w:val="00265E15"/>
    <w:rsid w:val="00270F80"/>
    <w:rsid w:val="002732DD"/>
    <w:rsid w:val="002825BD"/>
    <w:rsid w:val="00284528"/>
    <w:rsid w:val="0028462E"/>
    <w:rsid w:val="002847EA"/>
    <w:rsid w:val="00285587"/>
    <w:rsid w:val="002864C6"/>
    <w:rsid w:val="00286938"/>
    <w:rsid w:val="00290BD7"/>
    <w:rsid w:val="002928F9"/>
    <w:rsid w:val="00296C2E"/>
    <w:rsid w:val="002A018C"/>
    <w:rsid w:val="002A0251"/>
    <w:rsid w:val="002A286B"/>
    <w:rsid w:val="002A61B0"/>
    <w:rsid w:val="002A72DE"/>
    <w:rsid w:val="002B418A"/>
    <w:rsid w:val="002C1829"/>
    <w:rsid w:val="002C20CF"/>
    <w:rsid w:val="002C4542"/>
    <w:rsid w:val="002D1F9C"/>
    <w:rsid w:val="002D2C8E"/>
    <w:rsid w:val="002D6A50"/>
    <w:rsid w:val="002D6DE6"/>
    <w:rsid w:val="002E0230"/>
    <w:rsid w:val="002E7446"/>
    <w:rsid w:val="002E7D31"/>
    <w:rsid w:val="003003CF"/>
    <w:rsid w:val="00303BC4"/>
    <w:rsid w:val="00305472"/>
    <w:rsid w:val="00313DAC"/>
    <w:rsid w:val="003153FF"/>
    <w:rsid w:val="003252AF"/>
    <w:rsid w:val="003276F1"/>
    <w:rsid w:val="00330FB2"/>
    <w:rsid w:val="00333184"/>
    <w:rsid w:val="003349BB"/>
    <w:rsid w:val="00352F75"/>
    <w:rsid w:val="00373DA9"/>
    <w:rsid w:val="003769C8"/>
    <w:rsid w:val="00380948"/>
    <w:rsid w:val="003838A7"/>
    <w:rsid w:val="003911C9"/>
    <w:rsid w:val="00391D35"/>
    <w:rsid w:val="00394FA5"/>
    <w:rsid w:val="00395227"/>
    <w:rsid w:val="003965EC"/>
    <w:rsid w:val="00396B4A"/>
    <w:rsid w:val="003B1205"/>
    <w:rsid w:val="003B252C"/>
    <w:rsid w:val="003D1590"/>
    <w:rsid w:val="003D48DC"/>
    <w:rsid w:val="003D75CB"/>
    <w:rsid w:val="003E478B"/>
    <w:rsid w:val="003E4ED3"/>
    <w:rsid w:val="003E6942"/>
    <w:rsid w:val="003F7D2A"/>
    <w:rsid w:val="00401039"/>
    <w:rsid w:val="00401258"/>
    <w:rsid w:val="00403FEC"/>
    <w:rsid w:val="004051DC"/>
    <w:rsid w:val="00405BBA"/>
    <w:rsid w:val="004065B6"/>
    <w:rsid w:val="004201F2"/>
    <w:rsid w:val="0042262F"/>
    <w:rsid w:val="00434D08"/>
    <w:rsid w:val="00440425"/>
    <w:rsid w:val="004442CE"/>
    <w:rsid w:val="00446CC2"/>
    <w:rsid w:val="0044745F"/>
    <w:rsid w:val="00454B16"/>
    <w:rsid w:val="004555FD"/>
    <w:rsid w:val="0045767E"/>
    <w:rsid w:val="00457835"/>
    <w:rsid w:val="00461E5E"/>
    <w:rsid w:val="004639D6"/>
    <w:rsid w:val="00467979"/>
    <w:rsid w:val="004724B8"/>
    <w:rsid w:val="004731D9"/>
    <w:rsid w:val="00473929"/>
    <w:rsid w:val="00482315"/>
    <w:rsid w:val="004837A3"/>
    <w:rsid w:val="00493B80"/>
    <w:rsid w:val="00495B41"/>
    <w:rsid w:val="0049656E"/>
    <w:rsid w:val="004969CB"/>
    <w:rsid w:val="004969CF"/>
    <w:rsid w:val="004A276D"/>
    <w:rsid w:val="004B0B9A"/>
    <w:rsid w:val="004C670D"/>
    <w:rsid w:val="004D148E"/>
    <w:rsid w:val="004F011F"/>
    <w:rsid w:val="004F139E"/>
    <w:rsid w:val="004F480A"/>
    <w:rsid w:val="00501F49"/>
    <w:rsid w:val="00502AA2"/>
    <w:rsid w:val="005111F7"/>
    <w:rsid w:val="00516B2E"/>
    <w:rsid w:val="00520F71"/>
    <w:rsid w:val="00524C79"/>
    <w:rsid w:val="005361B1"/>
    <w:rsid w:val="00553F1B"/>
    <w:rsid w:val="0056091B"/>
    <w:rsid w:val="00565119"/>
    <w:rsid w:val="00565C56"/>
    <w:rsid w:val="0057086B"/>
    <w:rsid w:val="00584E4F"/>
    <w:rsid w:val="00593922"/>
    <w:rsid w:val="00594AE7"/>
    <w:rsid w:val="005A01B9"/>
    <w:rsid w:val="005A0856"/>
    <w:rsid w:val="005A1CE4"/>
    <w:rsid w:val="005B1129"/>
    <w:rsid w:val="005E7FF1"/>
    <w:rsid w:val="006001BA"/>
    <w:rsid w:val="006154D2"/>
    <w:rsid w:val="00616E3B"/>
    <w:rsid w:val="006308D2"/>
    <w:rsid w:val="006338D1"/>
    <w:rsid w:val="006359AF"/>
    <w:rsid w:val="006454BC"/>
    <w:rsid w:val="00647B08"/>
    <w:rsid w:val="006540DC"/>
    <w:rsid w:val="006557AB"/>
    <w:rsid w:val="00660055"/>
    <w:rsid w:val="006616AA"/>
    <w:rsid w:val="006629BD"/>
    <w:rsid w:val="006659EA"/>
    <w:rsid w:val="00670AA6"/>
    <w:rsid w:val="00674F77"/>
    <w:rsid w:val="0067571B"/>
    <w:rsid w:val="00676C29"/>
    <w:rsid w:val="00680A38"/>
    <w:rsid w:val="00683A88"/>
    <w:rsid w:val="00696DB8"/>
    <w:rsid w:val="006A2CBF"/>
    <w:rsid w:val="006A5945"/>
    <w:rsid w:val="006A5C68"/>
    <w:rsid w:val="006A5CF1"/>
    <w:rsid w:val="006A70E6"/>
    <w:rsid w:val="006B000C"/>
    <w:rsid w:val="006B37E4"/>
    <w:rsid w:val="006B5C75"/>
    <w:rsid w:val="006B5D43"/>
    <w:rsid w:val="006C4265"/>
    <w:rsid w:val="006C457B"/>
    <w:rsid w:val="006C5222"/>
    <w:rsid w:val="006C6302"/>
    <w:rsid w:val="006D3F93"/>
    <w:rsid w:val="006E03C9"/>
    <w:rsid w:val="006E6A6C"/>
    <w:rsid w:val="006F2238"/>
    <w:rsid w:val="006F5487"/>
    <w:rsid w:val="006F6844"/>
    <w:rsid w:val="00700114"/>
    <w:rsid w:val="007006E3"/>
    <w:rsid w:val="00700C0A"/>
    <w:rsid w:val="0070221F"/>
    <w:rsid w:val="0070408C"/>
    <w:rsid w:val="00720189"/>
    <w:rsid w:val="0072413B"/>
    <w:rsid w:val="007254F4"/>
    <w:rsid w:val="0072778E"/>
    <w:rsid w:val="00732989"/>
    <w:rsid w:val="0073488F"/>
    <w:rsid w:val="00744919"/>
    <w:rsid w:val="00744B8F"/>
    <w:rsid w:val="00746139"/>
    <w:rsid w:val="007567CA"/>
    <w:rsid w:val="00756E9F"/>
    <w:rsid w:val="007571F3"/>
    <w:rsid w:val="00762EB7"/>
    <w:rsid w:val="007679E5"/>
    <w:rsid w:val="00780657"/>
    <w:rsid w:val="00782EBA"/>
    <w:rsid w:val="007854C9"/>
    <w:rsid w:val="00787B02"/>
    <w:rsid w:val="007A5CFA"/>
    <w:rsid w:val="007B39AF"/>
    <w:rsid w:val="007B3B7F"/>
    <w:rsid w:val="007B3C62"/>
    <w:rsid w:val="007B4BA3"/>
    <w:rsid w:val="007B534A"/>
    <w:rsid w:val="007B6228"/>
    <w:rsid w:val="007B6FA0"/>
    <w:rsid w:val="007C4904"/>
    <w:rsid w:val="007C74BB"/>
    <w:rsid w:val="007C7916"/>
    <w:rsid w:val="007D0407"/>
    <w:rsid w:val="007D0935"/>
    <w:rsid w:val="007D1B96"/>
    <w:rsid w:val="007D2883"/>
    <w:rsid w:val="007E61BA"/>
    <w:rsid w:val="007F6B0C"/>
    <w:rsid w:val="00801E3C"/>
    <w:rsid w:val="00802371"/>
    <w:rsid w:val="00805116"/>
    <w:rsid w:val="008075EC"/>
    <w:rsid w:val="0082486E"/>
    <w:rsid w:val="008326DC"/>
    <w:rsid w:val="00844A8B"/>
    <w:rsid w:val="00847706"/>
    <w:rsid w:val="0084778F"/>
    <w:rsid w:val="008561FC"/>
    <w:rsid w:val="00857987"/>
    <w:rsid w:val="00862483"/>
    <w:rsid w:val="00864CCD"/>
    <w:rsid w:val="00874518"/>
    <w:rsid w:val="00884A95"/>
    <w:rsid w:val="008862E2"/>
    <w:rsid w:val="008921A4"/>
    <w:rsid w:val="00895B3E"/>
    <w:rsid w:val="008A5AFA"/>
    <w:rsid w:val="008A5B8F"/>
    <w:rsid w:val="008A7E94"/>
    <w:rsid w:val="008B0EB0"/>
    <w:rsid w:val="008B4CC1"/>
    <w:rsid w:val="008B5DB7"/>
    <w:rsid w:val="008C556B"/>
    <w:rsid w:val="008C6A37"/>
    <w:rsid w:val="008E1700"/>
    <w:rsid w:val="008E5E01"/>
    <w:rsid w:val="008E61A5"/>
    <w:rsid w:val="008F07D0"/>
    <w:rsid w:val="008F2444"/>
    <w:rsid w:val="008F2665"/>
    <w:rsid w:val="00905D71"/>
    <w:rsid w:val="00910B4E"/>
    <w:rsid w:val="0092592E"/>
    <w:rsid w:val="00930F26"/>
    <w:rsid w:val="00932C8D"/>
    <w:rsid w:val="0093483A"/>
    <w:rsid w:val="00934A35"/>
    <w:rsid w:val="00941310"/>
    <w:rsid w:val="00942633"/>
    <w:rsid w:val="009446C4"/>
    <w:rsid w:val="00944983"/>
    <w:rsid w:val="00945E35"/>
    <w:rsid w:val="00946BA9"/>
    <w:rsid w:val="00950F5B"/>
    <w:rsid w:val="00951748"/>
    <w:rsid w:val="009541D9"/>
    <w:rsid w:val="0095509D"/>
    <w:rsid w:val="00956E0D"/>
    <w:rsid w:val="00957147"/>
    <w:rsid w:val="0095733B"/>
    <w:rsid w:val="009A2CF2"/>
    <w:rsid w:val="009B396B"/>
    <w:rsid w:val="009C076C"/>
    <w:rsid w:val="009C23FF"/>
    <w:rsid w:val="009F06D9"/>
    <w:rsid w:val="009F6359"/>
    <w:rsid w:val="009F73A0"/>
    <w:rsid w:val="00A03D2E"/>
    <w:rsid w:val="00A16915"/>
    <w:rsid w:val="00A177C3"/>
    <w:rsid w:val="00A2062C"/>
    <w:rsid w:val="00A21BC6"/>
    <w:rsid w:val="00A25462"/>
    <w:rsid w:val="00A3080B"/>
    <w:rsid w:val="00A31F34"/>
    <w:rsid w:val="00A36994"/>
    <w:rsid w:val="00A43902"/>
    <w:rsid w:val="00A52A43"/>
    <w:rsid w:val="00A53707"/>
    <w:rsid w:val="00A56943"/>
    <w:rsid w:val="00A62D6F"/>
    <w:rsid w:val="00A645F2"/>
    <w:rsid w:val="00A6757D"/>
    <w:rsid w:val="00A75971"/>
    <w:rsid w:val="00A75E4E"/>
    <w:rsid w:val="00A8194A"/>
    <w:rsid w:val="00A911C9"/>
    <w:rsid w:val="00A946F8"/>
    <w:rsid w:val="00A961A3"/>
    <w:rsid w:val="00AA06CB"/>
    <w:rsid w:val="00AA2451"/>
    <w:rsid w:val="00AA3CD8"/>
    <w:rsid w:val="00AA47D7"/>
    <w:rsid w:val="00AB0BBD"/>
    <w:rsid w:val="00AB1D4D"/>
    <w:rsid w:val="00AB32D6"/>
    <w:rsid w:val="00AB3973"/>
    <w:rsid w:val="00AC2340"/>
    <w:rsid w:val="00AD2212"/>
    <w:rsid w:val="00AD3A26"/>
    <w:rsid w:val="00AE1CE7"/>
    <w:rsid w:val="00AF2404"/>
    <w:rsid w:val="00B00730"/>
    <w:rsid w:val="00B01E0D"/>
    <w:rsid w:val="00B02578"/>
    <w:rsid w:val="00B06B98"/>
    <w:rsid w:val="00B30B64"/>
    <w:rsid w:val="00B428CA"/>
    <w:rsid w:val="00B441D5"/>
    <w:rsid w:val="00B4500E"/>
    <w:rsid w:val="00B46341"/>
    <w:rsid w:val="00B50052"/>
    <w:rsid w:val="00B5570B"/>
    <w:rsid w:val="00B6434A"/>
    <w:rsid w:val="00B70CC1"/>
    <w:rsid w:val="00B75AA1"/>
    <w:rsid w:val="00B7641C"/>
    <w:rsid w:val="00B775A7"/>
    <w:rsid w:val="00B83537"/>
    <w:rsid w:val="00B839F4"/>
    <w:rsid w:val="00B84123"/>
    <w:rsid w:val="00B9421F"/>
    <w:rsid w:val="00B95E78"/>
    <w:rsid w:val="00BA3609"/>
    <w:rsid w:val="00BB4EBE"/>
    <w:rsid w:val="00BC1FD0"/>
    <w:rsid w:val="00BD0C18"/>
    <w:rsid w:val="00BD140E"/>
    <w:rsid w:val="00BE15CE"/>
    <w:rsid w:val="00BE3ECD"/>
    <w:rsid w:val="00C01747"/>
    <w:rsid w:val="00C01FF0"/>
    <w:rsid w:val="00C04A45"/>
    <w:rsid w:val="00C24EAB"/>
    <w:rsid w:val="00C27736"/>
    <w:rsid w:val="00C367C3"/>
    <w:rsid w:val="00C37750"/>
    <w:rsid w:val="00C465A4"/>
    <w:rsid w:val="00C503A9"/>
    <w:rsid w:val="00C53C58"/>
    <w:rsid w:val="00C5657A"/>
    <w:rsid w:val="00C56940"/>
    <w:rsid w:val="00C57B89"/>
    <w:rsid w:val="00C627C4"/>
    <w:rsid w:val="00C76930"/>
    <w:rsid w:val="00C936FD"/>
    <w:rsid w:val="00C955AF"/>
    <w:rsid w:val="00C95D87"/>
    <w:rsid w:val="00C97063"/>
    <w:rsid w:val="00CA24B4"/>
    <w:rsid w:val="00CB1171"/>
    <w:rsid w:val="00CB45CE"/>
    <w:rsid w:val="00CC610B"/>
    <w:rsid w:val="00CD0720"/>
    <w:rsid w:val="00CD384B"/>
    <w:rsid w:val="00CD434D"/>
    <w:rsid w:val="00CD69CA"/>
    <w:rsid w:val="00CE3F31"/>
    <w:rsid w:val="00CE5278"/>
    <w:rsid w:val="00CE7401"/>
    <w:rsid w:val="00CF5E42"/>
    <w:rsid w:val="00CF7A7D"/>
    <w:rsid w:val="00D002D6"/>
    <w:rsid w:val="00D030D7"/>
    <w:rsid w:val="00D05A53"/>
    <w:rsid w:val="00D07331"/>
    <w:rsid w:val="00D11CE7"/>
    <w:rsid w:val="00D14B08"/>
    <w:rsid w:val="00D462AA"/>
    <w:rsid w:val="00D47FBB"/>
    <w:rsid w:val="00D52C45"/>
    <w:rsid w:val="00D61ACA"/>
    <w:rsid w:val="00D67FFD"/>
    <w:rsid w:val="00D72283"/>
    <w:rsid w:val="00D730AB"/>
    <w:rsid w:val="00D758E8"/>
    <w:rsid w:val="00D922B2"/>
    <w:rsid w:val="00DA2F2D"/>
    <w:rsid w:val="00DA64B0"/>
    <w:rsid w:val="00DA7A49"/>
    <w:rsid w:val="00DB13EF"/>
    <w:rsid w:val="00DB3DDA"/>
    <w:rsid w:val="00DB5B27"/>
    <w:rsid w:val="00DB6570"/>
    <w:rsid w:val="00DB66BD"/>
    <w:rsid w:val="00DB7B94"/>
    <w:rsid w:val="00DC0B79"/>
    <w:rsid w:val="00DC29FF"/>
    <w:rsid w:val="00DC3094"/>
    <w:rsid w:val="00DC382C"/>
    <w:rsid w:val="00DC46E4"/>
    <w:rsid w:val="00DC79A7"/>
    <w:rsid w:val="00DD0FAA"/>
    <w:rsid w:val="00DE4778"/>
    <w:rsid w:val="00DE6160"/>
    <w:rsid w:val="00DE7650"/>
    <w:rsid w:val="00E017EE"/>
    <w:rsid w:val="00E02214"/>
    <w:rsid w:val="00E351BF"/>
    <w:rsid w:val="00E42C4F"/>
    <w:rsid w:val="00E4330C"/>
    <w:rsid w:val="00E43F78"/>
    <w:rsid w:val="00E470E0"/>
    <w:rsid w:val="00E47DDB"/>
    <w:rsid w:val="00E52C0E"/>
    <w:rsid w:val="00E55B5F"/>
    <w:rsid w:val="00E6412D"/>
    <w:rsid w:val="00E6481C"/>
    <w:rsid w:val="00E6588E"/>
    <w:rsid w:val="00E65DFE"/>
    <w:rsid w:val="00E661F9"/>
    <w:rsid w:val="00E71428"/>
    <w:rsid w:val="00E7494E"/>
    <w:rsid w:val="00E765B4"/>
    <w:rsid w:val="00E94475"/>
    <w:rsid w:val="00EA565D"/>
    <w:rsid w:val="00EB13DB"/>
    <w:rsid w:val="00EC21D1"/>
    <w:rsid w:val="00ED1364"/>
    <w:rsid w:val="00EE1E8E"/>
    <w:rsid w:val="00EE3E2F"/>
    <w:rsid w:val="00F01AAC"/>
    <w:rsid w:val="00F02239"/>
    <w:rsid w:val="00F04C23"/>
    <w:rsid w:val="00F063BC"/>
    <w:rsid w:val="00F06ECA"/>
    <w:rsid w:val="00F07344"/>
    <w:rsid w:val="00F07F3F"/>
    <w:rsid w:val="00F10343"/>
    <w:rsid w:val="00F133B4"/>
    <w:rsid w:val="00F17A3A"/>
    <w:rsid w:val="00F2448E"/>
    <w:rsid w:val="00F32431"/>
    <w:rsid w:val="00F36B38"/>
    <w:rsid w:val="00F40A83"/>
    <w:rsid w:val="00F434C7"/>
    <w:rsid w:val="00F43E2B"/>
    <w:rsid w:val="00F44E6A"/>
    <w:rsid w:val="00F472CF"/>
    <w:rsid w:val="00F475C5"/>
    <w:rsid w:val="00F55129"/>
    <w:rsid w:val="00F60940"/>
    <w:rsid w:val="00F60D98"/>
    <w:rsid w:val="00F622BD"/>
    <w:rsid w:val="00F62473"/>
    <w:rsid w:val="00F65818"/>
    <w:rsid w:val="00F727B6"/>
    <w:rsid w:val="00F747DF"/>
    <w:rsid w:val="00F76F67"/>
    <w:rsid w:val="00F7723E"/>
    <w:rsid w:val="00F83ED9"/>
    <w:rsid w:val="00F91747"/>
    <w:rsid w:val="00F933C4"/>
    <w:rsid w:val="00F93850"/>
    <w:rsid w:val="00F95792"/>
    <w:rsid w:val="00FA221E"/>
    <w:rsid w:val="00FA41B5"/>
    <w:rsid w:val="00FB0D2B"/>
    <w:rsid w:val="00FC6B5A"/>
    <w:rsid w:val="00FC7015"/>
    <w:rsid w:val="00FC74DB"/>
    <w:rsid w:val="00FD47AA"/>
    <w:rsid w:val="00FD75C6"/>
    <w:rsid w:val="00FD77E9"/>
    <w:rsid w:val="00FE297A"/>
    <w:rsid w:val="00FF704C"/>
    <w:rsid w:val="00FF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814D3F"/>
  <w15:docId w15:val="{F6EC30C8-BA76-4FDE-95AD-F7F37AA8D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404"/>
    <w:pPr>
      <w:spacing w:after="200" w:line="276" w:lineRule="auto"/>
    </w:pPr>
    <w:rPr>
      <w:rFonts w:ascii="Times New Roman" w:hAnsi="Times New Roman"/>
      <w:sz w:val="22"/>
      <w:szCs w:val="22"/>
    </w:rPr>
  </w:style>
  <w:style w:type="paragraph" w:styleId="Heading1">
    <w:name w:val="heading 1"/>
    <w:basedOn w:val="Normal"/>
    <w:next w:val="CaseSummary"/>
    <w:link w:val="Heading1Char"/>
    <w:uiPriority w:val="9"/>
    <w:rsid w:val="00944983"/>
    <w:pPr>
      <w:widowControl w:val="0"/>
      <w:numPr>
        <w:numId w:val="7"/>
      </w:numPr>
      <w:spacing w:before="480" w:after="120"/>
      <w:contextualSpacing/>
      <w:outlineLvl w:val="0"/>
    </w:pPr>
    <w:rPr>
      <w:rFonts w:ascii="Arial" w:eastAsia="Arial" w:hAnsi="Arial" w:cs="Arial"/>
      <w:b/>
      <w:color w:val="000000"/>
      <w:sz w:val="36"/>
    </w:rPr>
  </w:style>
  <w:style w:type="paragraph" w:styleId="Heading2">
    <w:name w:val="heading 2"/>
    <w:basedOn w:val="Normal"/>
    <w:next w:val="CaseSummary"/>
    <w:rsid w:val="00944983"/>
    <w:pPr>
      <w:widowControl w:val="0"/>
      <w:numPr>
        <w:ilvl w:val="1"/>
        <w:numId w:val="7"/>
      </w:numPr>
      <w:spacing w:before="360" w:after="80"/>
      <w:contextualSpacing/>
      <w:outlineLvl w:val="1"/>
    </w:pPr>
    <w:rPr>
      <w:rFonts w:ascii="Arial" w:eastAsia="Arial" w:hAnsi="Arial" w:cs="Arial"/>
      <w:b/>
      <w:color w:val="000000"/>
      <w:sz w:val="28"/>
    </w:rPr>
  </w:style>
  <w:style w:type="paragraph" w:styleId="Heading3">
    <w:name w:val="heading 3"/>
    <w:basedOn w:val="Normal"/>
    <w:next w:val="CaseSummary"/>
    <w:rsid w:val="00944983"/>
    <w:pPr>
      <w:widowControl w:val="0"/>
      <w:numPr>
        <w:ilvl w:val="2"/>
        <w:numId w:val="7"/>
      </w:numPr>
      <w:spacing w:before="280" w:after="80"/>
      <w:contextualSpacing/>
      <w:outlineLvl w:val="2"/>
    </w:pPr>
    <w:rPr>
      <w:rFonts w:ascii="Arial" w:eastAsia="Arial" w:hAnsi="Arial" w:cs="Arial"/>
      <w:b/>
      <w:color w:val="666666"/>
      <w:sz w:val="24"/>
    </w:rPr>
  </w:style>
  <w:style w:type="paragraph" w:styleId="Heading4">
    <w:name w:val="heading 4"/>
    <w:basedOn w:val="Normal"/>
    <w:next w:val="CaseSummary"/>
    <w:rsid w:val="00944983"/>
    <w:pPr>
      <w:widowControl w:val="0"/>
      <w:numPr>
        <w:ilvl w:val="3"/>
        <w:numId w:val="7"/>
      </w:numPr>
      <w:spacing w:before="240" w:after="40"/>
      <w:contextualSpacing/>
      <w:outlineLvl w:val="3"/>
    </w:pPr>
    <w:rPr>
      <w:rFonts w:ascii="Arial" w:eastAsia="Arial" w:hAnsi="Arial" w:cs="Arial"/>
      <w:i/>
      <w:color w:val="666666"/>
    </w:rPr>
  </w:style>
  <w:style w:type="paragraph" w:styleId="Heading5">
    <w:name w:val="heading 5"/>
    <w:basedOn w:val="Normal"/>
    <w:next w:val="CaseSummary"/>
    <w:rsid w:val="00944983"/>
    <w:pPr>
      <w:widowControl w:val="0"/>
      <w:numPr>
        <w:ilvl w:val="4"/>
        <w:numId w:val="7"/>
      </w:numPr>
      <w:spacing w:before="220" w:after="40"/>
      <w:contextualSpacing/>
      <w:outlineLvl w:val="4"/>
    </w:pPr>
    <w:rPr>
      <w:rFonts w:ascii="Arial" w:eastAsia="Arial" w:hAnsi="Arial" w:cs="Arial"/>
      <w:b/>
      <w:color w:val="666666"/>
      <w:sz w:val="20"/>
    </w:rPr>
  </w:style>
  <w:style w:type="paragraph" w:styleId="Heading6">
    <w:name w:val="heading 6"/>
    <w:basedOn w:val="Normal"/>
    <w:next w:val="CaseSummary"/>
    <w:rsid w:val="00944983"/>
    <w:pPr>
      <w:widowControl w:val="0"/>
      <w:numPr>
        <w:ilvl w:val="5"/>
        <w:numId w:val="7"/>
      </w:numPr>
      <w:spacing w:before="200" w:after="40"/>
      <w:contextualSpacing/>
      <w:outlineLvl w:val="5"/>
    </w:pPr>
    <w:rPr>
      <w:rFonts w:ascii="Arial" w:eastAsia="Arial" w:hAnsi="Arial" w:cs="Arial"/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seSummary">
    <w:name w:val="Case Summary"/>
    <w:autoRedefine/>
    <w:rsid w:val="00C465A4"/>
    <w:pPr>
      <w:spacing w:after="200"/>
    </w:pPr>
    <w:rPr>
      <w:rFonts w:ascii="Times New Roman" w:eastAsiaTheme="minorEastAsia" w:hAnsi="Times New Roman"/>
      <w:bCs/>
      <w:color w:val="000000"/>
      <w:lang w:eastAsia="fr-FR"/>
    </w:rPr>
  </w:style>
  <w:style w:type="paragraph" w:styleId="Title">
    <w:name w:val="Title"/>
    <w:aliases w:val="First Title"/>
    <w:basedOn w:val="Normal"/>
    <w:next w:val="CaseSummary"/>
    <w:link w:val="TitleChar"/>
    <w:qFormat/>
    <w:rsid w:val="00944983"/>
    <w:pPr>
      <w:widowControl w:val="0"/>
      <w:pBdr>
        <w:top w:val="thinThickSmallGap" w:sz="24" w:space="1" w:color="auto"/>
        <w:bottom w:val="single" w:sz="4" w:space="1" w:color="595959"/>
      </w:pBdr>
      <w:shd w:val="clear" w:color="auto" w:fill="E6E6E6"/>
      <w:spacing w:after="240"/>
      <w:ind w:left="-720" w:right="-720"/>
      <w:contextualSpacing/>
      <w:jc w:val="center"/>
    </w:pPr>
    <w:rPr>
      <w:rFonts w:eastAsia="Arial" w:cs="Arial"/>
      <w:b/>
      <w:bCs/>
      <w:smallCaps/>
      <w:color w:val="000000"/>
      <w:sz w:val="32"/>
      <w:szCs w:val="36"/>
    </w:rPr>
  </w:style>
  <w:style w:type="paragraph" w:styleId="Index4">
    <w:name w:val="index 4"/>
    <w:basedOn w:val="Normal"/>
    <w:next w:val="Normal"/>
    <w:autoRedefine/>
    <w:uiPriority w:val="99"/>
    <w:unhideWhenUsed/>
    <w:rsid w:val="00EA565D"/>
    <w:pPr>
      <w:numPr>
        <w:numId w:val="32"/>
      </w:numPr>
      <w:spacing w:after="0" w:line="240" w:lineRule="auto"/>
    </w:pPr>
    <w:rPr>
      <w:sz w:val="20"/>
    </w:rPr>
  </w:style>
  <w:style w:type="paragraph" w:customStyle="1" w:styleId="Contention1">
    <w:name w:val="Contention 1"/>
    <w:basedOn w:val="Normal"/>
    <w:qFormat/>
    <w:rsid w:val="003252AF"/>
    <w:pPr>
      <w:keepNext/>
      <w:keepLines/>
      <w:spacing w:line="240" w:lineRule="auto"/>
    </w:pPr>
    <w:rPr>
      <w:rFonts w:eastAsia="Times New Roman"/>
      <w:b/>
      <w:bCs/>
      <w:color w:val="000000"/>
      <w:sz w:val="20"/>
      <w:szCs w:val="20"/>
      <w:lang w:eastAsia="fr-FR"/>
    </w:rPr>
  </w:style>
  <w:style w:type="paragraph" w:customStyle="1" w:styleId="Evidence">
    <w:name w:val="Evidence"/>
    <w:basedOn w:val="Contention1"/>
    <w:link w:val="EvidenceChar"/>
    <w:qFormat/>
    <w:rsid w:val="004A276D"/>
    <w:pPr>
      <w:keepNext w:val="0"/>
      <w:ind w:left="288"/>
    </w:pPr>
    <w:rPr>
      <w:b w:val="0"/>
    </w:rPr>
  </w:style>
  <w:style w:type="paragraph" w:styleId="NormalWeb">
    <w:name w:val="Normal (Web)"/>
    <w:basedOn w:val="Normal"/>
    <w:uiPriority w:val="99"/>
    <w:unhideWhenUsed/>
    <w:rsid w:val="000B084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Hyperlink">
    <w:name w:val="Hyperlink"/>
    <w:uiPriority w:val="99"/>
    <w:unhideWhenUsed/>
    <w:rsid w:val="004A276D"/>
    <w:rPr>
      <w:color w:val="7F7F7F"/>
      <w:u w:val="dotted" w:color="7F7F7F"/>
    </w:rPr>
  </w:style>
  <w:style w:type="paragraph" w:customStyle="1" w:styleId="Citation3">
    <w:name w:val="Citation3"/>
    <w:basedOn w:val="Evidence"/>
    <w:next w:val="Evidence"/>
    <w:qFormat/>
    <w:rsid w:val="00720189"/>
    <w:pPr>
      <w:keepNext/>
      <w:spacing w:after="120"/>
    </w:pPr>
    <w:rPr>
      <w:rFonts w:eastAsia="MS Mincho"/>
      <w:bCs w:val="0"/>
      <w:i/>
      <w:color w:val="auto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862483"/>
    <w:rPr>
      <w:rFonts w:ascii="Arial" w:eastAsia="Arial" w:hAnsi="Arial" w:cs="Arial"/>
      <w:b/>
      <w:color w:val="000000"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45F2"/>
    <w:rPr>
      <w:rFonts w:ascii="Tahoma" w:hAnsi="Tahoma" w:cs="Tahoma"/>
      <w:sz w:val="16"/>
      <w:szCs w:val="16"/>
    </w:rPr>
  </w:style>
  <w:style w:type="paragraph" w:customStyle="1" w:styleId="Case">
    <w:name w:val="Case"/>
    <w:next w:val="Contention1"/>
    <w:qFormat/>
    <w:rsid w:val="004A276D"/>
    <w:pPr>
      <w:keepLines/>
      <w:numPr>
        <w:numId w:val="8"/>
      </w:numPr>
      <w:pBdr>
        <w:top w:val="single" w:sz="4" w:space="1" w:color="595959"/>
        <w:left w:val="single" w:sz="4" w:space="4" w:color="595959"/>
        <w:bottom w:val="single" w:sz="4" w:space="1" w:color="595959"/>
        <w:right w:val="single" w:sz="4" w:space="4" w:color="595959"/>
      </w:pBdr>
      <w:shd w:val="clear" w:color="auto" w:fill="E6E6E6"/>
      <w:spacing w:after="120" w:line="276" w:lineRule="auto"/>
    </w:pPr>
    <w:rPr>
      <w:rFonts w:ascii="Times New Roman" w:eastAsia="Times New Roman" w:hAnsi="Times New Roman"/>
      <w:bCs/>
      <w:color w:val="000000"/>
      <w:lang w:eastAsia="fr-FR"/>
    </w:rPr>
  </w:style>
  <w:style w:type="paragraph" w:customStyle="1" w:styleId="Constructive">
    <w:name w:val="Constructive"/>
    <w:qFormat/>
    <w:rsid w:val="004A276D"/>
    <w:pPr>
      <w:keepNext/>
      <w:spacing w:after="200" w:line="276" w:lineRule="auto"/>
    </w:pPr>
    <w:rPr>
      <w:rFonts w:ascii="Times New Roman" w:eastAsia="Times New Roman" w:hAnsi="Times New Roman"/>
      <w:bCs/>
      <w:color w:val="000000"/>
      <w:lang w:eastAsia="fr-FR"/>
    </w:rPr>
  </w:style>
  <w:style w:type="paragraph" w:customStyle="1" w:styleId="Contention2">
    <w:name w:val="Contention 2"/>
    <w:basedOn w:val="Contention1"/>
    <w:link w:val="Contention2Char"/>
    <w:qFormat/>
    <w:rsid w:val="00720189"/>
    <w:pPr>
      <w:spacing w:after="120"/>
      <w:ind w:left="144"/>
    </w:pPr>
  </w:style>
  <w:style w:type="paragraph" w:customStyle="1" w:styleId="Title2">
    <w:name w:val="Title 2"/>
    <w:basedOn w:val="Title"/>
    <w:rsid w:val="00303BC4"/>
    <w:pPr>
      <w:pageBreakBefore/>
    </w:pPr>
  </w:style>
  <w:style w:type="paragraph" w:styleId="TOC3">
    <w:name w:val="toc 3"/>
    <w:basedOn w:val="Normal"/>
    <w:next w:val="Normal"/>
    <w:autoRedefine/>
    <w:uiPriority w:val="39"/>
    <w:unhideWhenUsed/>
    <w:rsid w:val="00F60940"/>
    <w:pPr>
      <w:keepLines/>
      <w:tabs>
        <w:tab w:val="right" w:leader="dot" w:pos="9720"/>
      </w:tabs>
      <w:spacing w:after="0" w:line="240" w:lineRule="auto"/>
      <w:ind w:left="288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0189"/>
    <w:pPr>
      <w:spacing w:after="0" w:line="240" w:lineRule="auto"/>
      <w:ind w:left="220" w:hanging="220"/>
    </w:pPr>
  </w:style>
  <w:style w:type="paragraph" w:styleId="TOC1">
    <w:name w:val="toc 1"/>
    <w:basedOn w:val="Normal"/>
    <w:next w:val="Normal"/>
    <w:autoRedefine/>
    <w:uiPriority w:val="39"/>
    <w:unhideWhenUsed/>
    <w:rsid w:val="00F60940"/>
    <w:pPr>
      <w:tabs>
        <w:tab w:val="right" w:leader="dot" w:pos="9720"/>
      </w:tabs>
      <w:spacing w:before="200" w:after="100" w:line="240" w:lineRule="auto"/>
      <w:ind w:left="-288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F60940"/>
    <w:pPr>
      <w:tabs>
        <w:tab w:val="right" w:leader="dot" w:pos="9720"/>
      </w:tabs>
      <w:spacing w:before="120" w:after="0"/>
      <w:ind w:left="216" w:hanging="216"/>
    </w:pPr>
    <w:rPr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C465A4"/>
    <w:pPr>
      <w:numPr>
        <w:numId w:val="29"/>
      </w:numPr>
    </w:pPr>
    <w:rPr>
      <w:sz w:val="20"/>
      <w:u w:val="single" w:color="FFFFFF" w:themeColor="background1"/>
    </w:rPr>
  </w:style>
  <w:style w:type="paragraph" w:styleId="TOC5">
    <w:name w:val="toc 5"/>
    <w:basedOn w:val="Normal"/>
    <w:next w:val="Normal"/>
    <w:autoRedefine/>
    <w:uiPriority w:val="39"/>
    <w:unhideWhenUsed/>
    <w:rsid w:val="00720189"/>
    <w:pPr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720189"/>
    <w:pPr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720189"/>
    <w:pPr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720189"/>
    <w:pPr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720189"/>
    <w:pPr>
      <w:ind w:left="1760"/>
    </w:pPr>
  </w:style>
  <w:style w:type="paragraph" w:styleId="FootnoteText">
    <w:name w:val="footnote text"/>
    <w:basedOn w:val="Normal"/>
    <w:link w:val="FootnoteTextChar"/>
    <w:rsid w:val="001D5FD6"/>
    <w:pPr>
      <w:spacing w:after="0"/>
    </w:pPr>
    <w:rPr>
      <w:rFonts w:ascii="Arial" w:eastAsia="Arial" w:hAnsi="Arial" w:cs="Arial"/>
      <w:color w:val="000000"/>
      <w:sz w:val="20"/>
      <w:szCs w:val="20"/>
      <w:lang w:val="fr-FR" w:eastAsia="fr-FR"/>
    </w:rPr>
  </w:style>
  <w:style w:type="character" w:customStyle="1" w:styleId="FootnoteTextChar">
    <w:name w:val="Footnote Text Char"/>
    <w:basedOn w:val="DefaultParagraphFont"/>
    <w:link w:val="FootnoteText"/>
    <w:rsid w:val="001D5FD6"/>
    <w:rPr>
      <w:rFonts w:ascii="Arial" w:eastAsia="Arial" w:hAnsi="Arial" w:cs="Arial"/>
      <w:color w:val="000000"/>
      <w:lang w:val="fr-FR" w:eastAsia="fr-FR"/>
    </w:rPr>
  </w:style>
  <w:style w:type="character" w:styleId="FootnoteReference">
    <w:name w:val="footnote reference"/>
    <w:basedOn w:val="DefaultParagraphFont"/>
    <w:rsid w:val="001D5F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B66B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6B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34A35"/>
    <w:pPr>
      <w:tabs>
        <w:tab w:val="center" w:pos="4320"/>
        <w:tab w:val="right" w:pos="8640"/>
      </w:tabs>
      <w:spacing w:after="0" w:line="240" w:lineRule="auto"/>
      <w:jc w:val="center"/>
    </w:pPr>
    <w:rPr>
      <w:b/>
      <w:bCs/>
      <w:smallCaps/>
    </w:rPr>
  </w:style>
  <w:style w:type="character" w:customStyle="1" w:styleId="FooterChar">
    <w:name w:val="Footer Char"/>
    <w:basedOn w:val="DefaultParagraphFont"/>
    <w:link w:val="Footer"/>
    <w:uiPriority w:val="99"/>
    <w:rsid w:val="00934A35"/>
    <w:rPr>
      <w:rFonts w:ascii="Times New Roman" w:hAnsi="Times New Roman"/>
      <w:b/>
      <w:bCs/>
      <w:smallCaps/>
      <w:sz w:val="22"/>
      <w:szCs w:val="22"/>
    </w:rPr>
  </w:style>
  <w:style w:type="paragraph" w:customStyle="1" w:styleId="Contention3">
    <w:name w:val="Contention 3"/>
    <w:basedOn w:val="Contention2"/>
    <w:qFormat/>
    <w:rsid w:val="00DB66BD"/>
    <w:pPr>
      <w:ind w:left="270"/>
    </w:pPr>
  </w:style>
  <w:style w:type="character" w:styleId="CommentReference">
    <w:name w:val="annotation reference"/>
    <w:basedOn w:val="DefaultParagraphFont"/>
    <w:uiPriority w:val="99"/>
    <w:semiHidden/>
    <w:unhideWhenUsed/>
    <w:rsid w:val="00501F4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1F49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1F4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F4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F49"/>
    <w:rPr>
      <w:b/>
      <w:bCs/>
      <w:sz w:val="24"/>
      <w:szCs w:val="24"/>
    </w:rPr>
  </w:style>
  <w:style w:type="character" w:customStyle="1" w:styleId="TitleChar">
    <w:name w:val="Title Char"/>
    <w:aliases w:val="First Title Char"/>
    <w:basedOn w:val="DefaultParagraphFont"/>
    <w:link w:val="Title"/>
    <w:rsid w:val="00934A35"/>
    <w:rPr>
      <w:rFonts w:ascii="Times New Roman" w:eastAsia="Arial" w:hAnsi="Times New Roman" w:cs="Arial"/>
      <w:b/>
      <w:bCs/>
      <w:smallCaps/>
      <w:color w:val="000000"/>
      <w:sz w:val="32"/>
      <w:szCs w:val="36"/>
      <w:shd w:val="clear" w:color="auto" w:fill="E6E6E6"/>
    </w:rPr>
  </w:style>
  <w:style w:type="character" w:styleId="FollowedHyperlink">
    <w:name w:val="FollowedHyperlink"/>
    <w:basedOn w:val="DefaultParagraphFont"/>
    <w:uiPriority w:val="99"/>
    <w:unhideWhenUsed/>
    <w:rsid w:val="0042262F"/>
    <w:rPr>
      <w:color w:val="7F7F7F" w:themeColor="text1" w:themeTint="80"/>
      <w:u w:val="dotted"/>
    </w:rPr>
  </w:style>
  <w:style w:type="paragraph" w:customStyle="1" w:styleId="Pa3">
    <w:name w:val="Pa3"/>
    <w:basedOn w:val="Normal"/>
    <w:uiPriority w:val="99"/>
    <w:rsid w:val="00944983"/>
    <w:pPr>
      <w:autoSpaceDE w:val="0"/>
      <w:autoSpaceDN w:val="0"/>
      <w:adjustRightInd w:val="0"/>
      <w:spacing w:after="0" w:line="221" w:lineRule="atLeast"/>
    </w:pPr>
    <w:rPr>
      <w:rFonts w:ascii="AGaramond" w:hAnsi="AGaramond"/>
      <w:sz w:val="24"/>
      <w:szCs w:val="24"/>
    </w:rPr>
  </w:style>
  <w:style w:type="character" w:customStyle="1" w:styleId="A12">
    <w:name w:val="A12"/>
    <w:uiPriority w:val="99"/>
    <w:rsid w:val="00A62D6F"/>
    <w:rPr>
      <w:rFonts w:cs="AGaramond"/>
      <w:color w:val="000000"/>
      <w:sz w:val="12"/>
      <w:szCs w:val="12"/>
    </w:rPr>
  </w:style>
  <w:style w:type="paragraph" w:customStyle="1" w:styleId="Pa6">
    <w:name w:val="Pa6"/>
    <w:basedOn w:val="Normal"/>
    <w:uiPriority w:val="99"/>
    <w:rsid w:val="00944983"/>
    <w:pPr>
      <w:autoSpaceDE w:val="0"/>
      <w:autoSpaceDN w:val="0"/>
      <w:adjustRightInd w:val="0"/>
      <w:spacing w:after="0" w:line="221" w:lineRule="atLeast"/>
    </w:pPr>
    <w:rPr>
      <w:rFonts w:ascii="Minion Pro" w:hAnsi="Minion Pro"/>
      <w:sz w:val="24"/>
      <w:szCs w:val="24"/>
    </w:rPr>
  </w:style>
  <w:style w:type="character" w:customStyle="1" w:styleId="A11">
    <w:name w:val="A11"/>
    <w:uiPriority w:val="99"/>
    <w:rsid w:val="00F36B38"/>
    <w:rPr>
      <w:rFonts w:ascii="Myriad Pro" w:hAnsi="Myriad Pro" w:cs="Myriad Pro"/>
      <w:color w:val="000000"/>
      <w:sz w:val="12"/>
      <w:szCs w:val="12"/>
    </w:rPr>
  </w:style>
  <w:style w:type="paragraph" w:styleId="ListParagraph">
    <w:name w:val="List Paragraph"/>
    <w:basedOn w:val="Normal"/>
    <w:uiPriority w:val="72"/>
    <w:rsid w:val="000C0767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96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93483A"/>
    <w:rPr>
      <w:i/>
      <w:iCs/>
    </w:rPr>
  </w:style>
  <w:style w:type="character" w:styleId="Strong">
    <w:name w:val="Strong"/>
    <w:basedOn w:val="DefaultParagraphFont"/>
    <w:uiPriority w:val="22"/>
    <w:qFormat/>
    <w:rsid w:val="0093483A"/>
    <w:rPr>
      <w:b/>
      <w:bCs/>
    </w:rPr>
  </w:style>
  <w:style w:type="paragraph" w:customStyle="1" w:styleId="excerpt">
    <w:name w:val="excerpt"/>
    <w:basedOn w:val="Normal"/>
    <w:rsid w:val="003952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caps">
    <w:name w:val="caps"/>
    <w:basedOn w:val="DefaultParagraphFont"/>
    <w:rsid w:val="006E6A6C"/>
  </w:style>
  <w:style w:type="paragraph" w:customStyle="1" w:styleId="css-18icg9x">
    <w:name w:val="css-18icg9x"/>
    <w:basedOn w:val="Normal"/>
    <w:rsid w:val="006E6A6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-text">
    <w:name w:val="p-text"/>
    <w:basedOn w:val="Normal"/>
    <w:rsid w:val="00884A9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trbarhlk">
    <w:name w:val="trb_ar_hl_k"/>
    <w:basedOn w:val="DefaultParagraphFont"/>
    <w:rsid w:val="006F6844"/>
  </w:style>
  <w:style w:type="character" w:customStyle="1" w:styleId="EvidenceChar">
    <w:name w:val="Evidence Char"/>
    <w:link w:val="Evidence"/>
    <w:locked/>
    <w:rsid w:val="00B95E78"/>
    <w:rPr>
      <w:rFonts w:ascii="Times New Roman" w:eastAsia="Times New Roman" w:hAnsi="Times New Roman"/>
      <w:bCs/>
      <w:color w:val="000000"/>
      <w:lang w:eastAsia="fr-FR"/>
    </w:rPr>
  </w:style>
  <w:style w:type="character" w:customStyle="1" w:styleId="Contention2Char">
    <w:name w:val="Contention 2 Char"/>
    <w:basedOn w:val="DefaultParagraphFont"/>
    <w:link w:val="Contention2"/>
    <w:locked/>
    <w:rsid w:val="00B95E78"/>
    <w:rPr>
      <w:rFonts w:ascii="Times New Roman" w:eastAsia="Times New Roman" w:hAnsi="Times New Roman"/>
      <w:b/>
      <w:bCs/>
      <w:color w:val="000000"/>
      <w:lang w:eastAsia="fr-FR"/>
    </w:rPr>
  </w:style>
  <w:style w:type="character" w:customStyle="1" w:styleId="card-preview">
    <w:name w:val="card-preview"/>
    <w:basedOn w:val="DefaultParagraphFont"/>
    <w:rsid w:val="002928F9"/>
  </w:style>
  <w:style w:type="character" w:customStyle="1" w:styleId="percent">
    <w:name w:val="percent"/>
    <w:basedOn w:val="DefaultParagraphFont"/>
    <w:rsid w:val="002928F9"/>
  </w:style>
  <w:style w:type="character" w:customStyle="1" w:styleId="uabb-heading-text">
    <w:name w:val="uabb-heading-text"/>
    <w:basedOn w:val="DefaultParagraphFont"/>
    <w:rsid w:val="001E04DC"/>
  </w:style>
  <w:style w:type="character" w:customStyle="1" w:styleId="name">
    <w:name w:val="name"/>
    <w:basedOn w:val="DefaultParagraphFont"/>
    <w:rsid w:val="00482315"/>
  </w:style>
  <w:style w:type="character" w:customStyle="1" w:styleId="date">
    <w:name w:val="date"/>
    <w:basedOn w:val="DefaultParagraphFont"/>
    <w:rsid w:val="00482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85610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1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3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8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5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66240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4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</w:div>
      </w:divsChild>
    </w:div>
    <w:div w:id="8859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1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42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17973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7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9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1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23668">
          <w:marLeft w:val="0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39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14139">
          <w:marLeft w:val="0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46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6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33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4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0907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single" w:sz="24" w:space="0" w:color="000000"/>
            <w:right w:val="none" w:sz="0" w:space="0" w:color="000000"/>
          </w:divBdr>
          <w:divsChild>
            <w:div w:id="172032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5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41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42095">
          <w:marLeft w:val="456"/>
          <w:marRight w:val="456"/>
          <w:marTop w:val="7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7260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3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0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0944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2772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984074">
                          <w:marLeft w:val="0"/>
                          <w:marRight w:val="175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55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6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0722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4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0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upremecourt.gov/DocketPDF/19/19-54/113255/20190822145651082_BIO%20Givens%20v.%20Mountain%20Valley%20Pipeline.pdf" TargetMode="External"/><Relationship Id="rId18" Type="http://schemas.openxmlformats.org/officeDocument/2006/relationships/hyperlink" Target="https://www.manhattan-institute.org/expert/diana-furchtgott-rot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manhattan-institute.org/html/pipelines-are-safest-transportation-oil-and-gas-5716.htm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crudeoiltrader.blogspot.com/2011/11/eia-rail-delivery-of-crude-oil-and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nergyservicessouth.com/pipelines-vs-rail-transport-for-natural-gas/" TargetMode="External"/><Relationship Id="rId20" Type="http://schemas.openxmlformats.org/officeDocument/2006/relationships/hyperlink" Target="https://en.wikipedia.org/wiki/George_Washington_Universit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hyperlink" Target="https://www.supremecourt.gov/DocketPDF/19/19-54/113255/20190822145651082_BIO%20Givens%20v.%20Mountain%20Valley%20Pipeline.pdf" TargetMode="External"/><Relationship Id="rId19" Type="http://schemas.openxmlformats.org/officeDocument/2006/relationships/hyperlink" Target="https://en.wikipedia.org/wiki/Manhattan_Institute_for_Policy_Researc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4C935-59F3-4691-9B93-7E60929D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6751</TotalTime>
  <Pages>7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2012-STOA-BB-012-AFF-SaudiArabia-SUBMITTED.docx</vt:lpstr>
    </vt:vector>
  </TitlesOfParts>
  <Company>DASSAULT SYSTEMES</Company>
  <LinksUpToDate>false</LinksUpToDate>
  <CharactersWithSpaces>8224</CharactersWithSpaces>
  <SharedDoc>false</SharedDoc>
  <HLinks>
    <vt:vector size="516" baseType="variant">
      <vt:variant>
        <vt:i4>1966130</vt:i4>
      </vt:variant>
      <vt:variant>
        <vt:i4>432</vt:i4>
      </vt:variant>
      <vt:variant>
        <vt:i4>0</vt:i4>
      </vt:variant>
      <vt:variant>
        <vt:i4>5</vt:i4>
      </vt:variant>
      <vt:variant>
        <vt:lpwstr>http://foreignpolicyblogs.com/2010/04/14/in-support-of-nuclear-proliferation/</vt:lpwstr>
      </vt:variant>
      <vt:variant>
        <vt:lpwstr/>
      </vt:variant>
      <vt:variant>
        <vt:i4>1704026</vt:i4>
      </vt:variant>
      <vt:variant>
        <vt:i4>429</vt:i4>
      </vt:variant>
      <vt:variant>
        <vt:i4>0</vt:i4>
      </vt:variant>
      <vt:variant>
        <vt:i4>5</vt:i4>
      </vt:variant>
      <vt:variant>
        <vt:lpwstr>http://www.washingtonmonthly.com/magazine/marchapril_2012/features/we_can_live_with_a_nuclear_ira035772.php</vt:lpwstr>
      </vt:variant>
      <vt:variant>
        <vt:lpwstr/>
      </vt:variant>
      <vt:variant>
        <vt:i4>1704026</vt:i4>
      </vt:variant>
      <vt:variant>
        <vt:i4>426</vt:i4>
      </vt:variant>
      <vt:variant>
        <vt:i4>0</vt:i4>
      </vt:variant>
      <vt:variant>
        <vt:i4>5</vt:i4>
      </vt:variant>
      <vt:variant>
        <vt:lpwstr>http://www.washingtonmonthly.com/magazine/marchapril_2012/features/we_can_live_with_a_nuclear_ira035772.php</vt:lpwstr>
      </vt:variant>
      <vt:variant>
        <vt:lpwstr/>
      </vt:variant>
      <vt:variant>
        <vt:i4>1704026</vt:i4>
      </vt:variant>
      <vt:variant>
        <vt:i4>423</vt:i4>
      </vt:variant>
      <vt:variant>
        <vt:i4>0</vt:i4>
      </vt:variant>
      <vt:variant>
        <vt:i4>5</vt:i4>
      </vt:variant>
      <vt:variant>
        <vt:lpwstr>http://www.washingtonmonthly.com/magazine/marchapril_2012/features/we_can_live_with_a_nuclear_ira035772.php</vt:lpwstr>
      </vt:variant>
      <vt:variant>
        <vt:lpwstr/>
      </vt:variant>
      <vt:variant>
        <vt:i4>7143530</vt:i4>
      </vt:variant>
      <vt:variant>
        <vt:i4>420</vt:i4>
      </vt:variant>
      <vt:variant>
        <vt:i4>0</vt:i4>
      </vt:variant>
      <vt:variant>
        <vt:i4>5</vt:i4>
      </vt:variant>
      <vt:variant>
        <vt:lpwstr>http://www.foreignaffairs.com/articles/65692/ariel-ilan-roth/the-root-of-all-fears</vt:lpwstr>
      </vt:variant>
      <vt:variant>
        <vt:lpwstr/>
      </vt:variant>
      <vt:variant>
        <vt:i4>7143530</vt:i4>
      </vt:variant>
      <vt:variant>
        <vt:i4>417</vt:i4>
      </vt:variant>
      <vt:variant>
        <vt:i4>0</vt:i4>
      </vt:variant>
      <vt:variant>
        <vt:i4>5</vt:i4>
      </vt:variant>
      <vt:variant>
        <vt:lpwstr>http://www.foreignaffairs.com/articles/65692/ariel-ilan-roth/the-root-of-all-fears</vt:lpwstr>
      </vt:variant>
      <vt:variant>
        <vt:lpwstr/>
      </vt:variant>
      <vt:variant>
        <vt:i4>7143530</vt:i4>
      </vt:variant>
      <vt:variant>
        <vt:i4>414</vt:i4>
      </vt:variant>
      <vt:variant>
        <vt:i4>0</vt:i4>
      </vt:variant>
      <vt:variant>
        <vt:i4>5</vt:i4>
      </vt:variant>
      <vt:variant>
        <vt:lpwstr>http://www.foreignaffairs.com/articles/65692/ariel-ilan-roth/the-root-of-all-fears</vt:lpwstr>
      </vt:variant>
      <vt:variant>
        <vt:lpwstr/>
      </vt:variant>
      <vt:variant>
        <vt:i4>1704026</vt:i4>
      </vt:variant>
      <vt:variant>
        <vt:i4>411</vt:i4>
      </vt:variant>
      <vt:variant>
        <vt:i4>0</vt:i4>
      </vt:variant>
      <vt:variant>
        <vt:i4>5</vt:i4>
      </vt:variant>
      <vt:variant>
        <vt:lpwstr>http://www.washingtonmonthly.com/magazine/marchapril_2012/features/we_can_live_with_a_nuclear_ira035772.php</vt:lpwstr>
      </vt:variant>
      <vt:variant>
        <vt:lpwstr/>
      </vt:variant>
      <vt:variant>
        <vt:i4>1704026</vt:i4>
      </vt:variant>
      <vt:variant>
        <vt:i4>408</vt:i4>
      </vt:variant>
      <vt:variant>
        <vt:i4>0</vt:i4>
      </vt:variant>
      <vt:variant>
        <vt:i4>5</vt:i4>
      </vt:variant>
      <vt:variant>
        <vt:lpwstr>http://www.washingtonmonthly.com/magazine/marchapril_2012/features/we_can_live_with_a_nuclear_ira035772.php</vt:lpwstr>
      </vt:variant>
      <vt:variant>
        <vt:lpwstr/>
      </vt:variant>
      <vt:variant>
        <vt:i4>65574</vt:i4>
      </vt:variant>
      <vt:variant>
        <vt:i4>405</vt:i4>
      </vt:variant>
      <vt:variant>
        <vt:i4>0</vt:i4>
      </vt:variant>
      <vt:variant>
        <vt:i4>5</vt:i4>
      </vt:variant>
      <vt:variant>
        <vt:lpwstr>http://csis.org/files/publication/140122_Cordesman_IranSanctions_Web.pdf</vt:lpwstr>
      </vt:variant>
      <vt:variant>
        <vt:lpwstr/>
      </vt:variant>
      <vt:variant>
        <vt:i4>5046342</vt:i4>
      </vt:variant>
      <vt:variant>
        <vt:i4>402</vt:i4>
      </vt:variant>
      <vt:variant>
        <vt:i4>0</vt:i4>
      </vt:variant>
      <vt:variant>
        <vt:i4>5</vt:i4>
      </vt:variant>
      <vt:variant>
        <vt:lpwstr>http://www.cnas.org/files/documents/publications/CNAS_AtomicKingdom_Kahl.pdf</vt:lpwstr>
      </vt:variant>
      <vt:variant>
        <vt:lpwstr/>
      </vt:variant>
      <vt:variant>
        <vt:i4>1769562</vt:i4>
      </vt:variant>
      <vt:variant>
        <vt:i4>399</vt:i4>
      </vt:variant>
      <vt:variant>
        <vt:i4>0</vt:i4>
      </vt:variant>
      <vt:variant>
        <vt:i4>5</vt:i4>
      </vt:variant>
      <vt:variant>
        <vt:lpwstr>http://www.amazon.com/Atomic-Obsession-Alarmism-Hiroshima-Al-Qaeda/dp/B0062GKNGC</vt:lpwstr>
      </vt:variant>
      <vt:variant>
        <vt:lpwstr/>
      </vt:variant>
      <vt:variant>
        <vt:i4>8257649</vt:i4>
      </vt:variant>
      <vt:variant>
        <vt:i4>396</vt:i4>
      </vt:variant>
      <vt:variant>
        <vt:i4>0</vt:i4>
      </vt:variant>
      <vt:variant>
        <vt:i4>5</vt:i4>
      </vt:variant>
      <vt:variant>
        <vt:lpwstr>http://www.mitpressjournals.org/doi/abs/10.1162/isec.2008.33.1.139</vt:lpwstr>
      </vt:variant>
      <vt:variant>
        <vt:lpwstr/>
      </vt:variant>
      <vt:variant>
        <vt:i4>3342377</vt:i4>
      </vt:variant>
      <vt:variant>
        <vt:i4>393</vt:i4>
      </vt:variant>
      <vt:variant>
        <vt:i4>0</vt:i4>
      </vt:variant>
      <vt:variant>
        <vt:i4>5</vt:i4>
      </vt:variant>
      <vt:variant>
        <vt:lpwstr>http://repository.library.georgetown.edu/handle/10822/558060?show=full</vt:lpwstr>
      </vt:variant>
      <vt:variant>
        <vt:lpwstr/>
      </vt:variant>
      <vt:variant>
        <vt:i4>983125</vt:i4>
      </vt:variant>
      <vt:variant>
        <vt:i4>390</vt:i4>
      </vt:variant>
      <vt:variant>
        <vt:i4>0</vt:i4>
      </vt:variant>
      <vt:variant>
        <vt:i4>5</vt:i4>
      </vt:variant>
      <vt:variant>
        <vt:lpwstr>http://www.mitpressjournals.org/doi/abs/10.1162/ISEC_a_00127</vt:lpwstr>
      </vt:variant>
      <vt:variant>
        <vt:lpwstr/>
      </vt:variant>
      <vt:variant>
        <vt:i4>2949167</vt:i4>
      </vt:variant>
      <vt:variant>
        <vt:i4>387</vt:i4>
      </vt:variant>
      <vt:variant>
        <vt:i4>0</vt:i4>
      </vt:variant>
      <vt:variant>
        <vt:i4>5</vt:i4>
      </vt:variant>
      <vt:variant>
        <vt:lpwstr>http://www.cato.org/blog/iran-would-us-take-yes-answer</vt:lpwstr>
      </vt:variant>
      <vt:variant>
        <vt:lpwstr/>
      </vt:variant>
      <vt:variant>
        <vt:i4>8126591</vt:i4>
      </vt:variant>
      <vt:variant>
        <vt:i4>384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381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378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8126591</vt:i4>
      </vt:variant>
      <vt:variant>
        <vt:i4>375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372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369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8126591</vt:i4>
      </vt:variant>
      <vt:variant>
        <vt:i4>366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363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360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8126591</vt:i4>
      </vt:variant>
      <vt:variant>
        <vt:i4>357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354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351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8126591</vt:i4>
      </vt:variant>
      <vt:variant>
        <vt:i4>348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345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342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8126591</vt:i4>
      </vt:variant>
      <vt:variant>
        <vt:i4>339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336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333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8126591</vt:i4>
      </vt:variant>
      <vt:variant>
        <vt:i4>330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327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324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8126591</vt:i4>
      </vt:variant>
      <vt:variant>
        <vt:i4>321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318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315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7471128</vt:i4>
      </vt:variant>
      <vt:variant>
        <vt:i4>312</vt:i4>
      </vt:variant>
      <vt:variant>
        <vt:i4>0</vt:i4>
      </vt:variant>
      <vt:variant>
        <vt:i4>5</vt:i4>
      </vt:variant>
      <vt:variant>
        <vt:lpwstr>http://blogs.mcclatchydc.com/nationalsecurity/2011/02/new-nie-on-iran-nuke-program-appears-to-differ-little-from-2007-findings.html</vt:lpwstr>
      </vt:variant>
      <vt:variant>
        <vt:lpwstr/>
      </vt:variant>
      <vt:variant>
        <vt:i4>6225968</vt:i4>
      </vt:variant>
      <vt:variant>
        <vt:i4>309</vt:i4>
      </vt:variant>
      <vt:variant>
        <vt:i4>0</vt:i4>
      </vt:variant>
      <vt:variant>
        <vt:i4>5</vt:i4>
      </vt:variant>
      <vt:variant>
        <vt:lpwstr>http://www.juancole.com/2009/10/iran-and-nuclear-latency.html</vt:lpwstr>
      </vt:variant>
      <vt:variant>
        <vt:lpwstr/>
      </vt:variant>
      <vt:variant>
        <vt:i4>1900661</vt:i4>
      </vt:variant>
      <vt:variant>
        <vt:i4>306</vt:i4>
      </vt:variant>
      <vt:variant>
        <vt:i4>0</vt:i4>
      </vt:variant>
      <vt:variant>
        <vt:i4>5</vt:i4>
      </vt:variant>
      <vt:variant>
        <vt:lpwstr>http://www.cbsnews.com/news/face-the-nation-transcript-january-8-2012</vt:lpwstr>
      </vt:variant>
      <vt:variant>
        <vt:lpwstr/>
      </vt:variant>
      <vt:variant>
        <vt:i4>3211325</vt:i4>
      </vt:variant>
      <vt:variant>
        <vt:i4>303</vt:i4>
      </vt:variant>
      <vt:variant>
        <vt:i4>0</vt:i4>
      </vt:variant>
      <vt:variant>
        <vt:i4>5</vt:i4>
      </vt:variant>
      <vt:variant>
        <vt:lpwstr>http://www.cbsnews.com/news/why-iran-sanctions-are-doomed-to-fail/</vt:lpwstr>
      </vt:variant>
      <vt:variant>
        <vt:lpwstr/>
      </vt:variant>
      <vt:variant>
        <vt:i4>6815794</vt:i4>
      </vt:variant>
      <vt:variant>
        <vt:i4>300</vt:i4>
      </vt:variant>
      <vt:variant>
        <vt:i4>0</vt:i4>
      </vt:variant>
      <vt:variant>
        <vt:i4>5</vt:i4>
      </vt:variant>
      <vt:variant>
        <vt:lpwstr>http://www.cato.org/publications/commentary/limits-coercive-diplomacy-iran</vt:lpwstr>
      </vt:variant>
      <vt:variant>
        <vt:lpwstr/>
      </vt:variant>
      <vt:variant>
        <vt:i4>2359329</vt:i4>
      </vt:variant>
      <vt:variant>
        <vt:i4>297</vt:i4>
      </vt:variant>
      <vt:variant>
        <vt:i4>0</vt:i4>
      </vt:variant>
      <vt:variant>
        <vt:i4>5</vt:i4>
      </vt:variant>
      <vt:variant>
        <vt:lpwstr>http://articles.timesofindia.indiatimes.com/2012-03-21/us/31219883_1_iranian-oil-oil-purchases-imports</vt:lpwstr>
      </vt:variant>
      <vt:variant>
        <vt:lpwstr/>
      </vt:variant>
      <vt:variant>
        <vt:i4>8323188</vt:i4>
      </vt:variant>
      <vt:variant>
        <vt:i4>294</vt:i4>
      </vt:variant>
      <vt:variant>
        <vt:i4>0</vt:i4>
      </vt:variant>
      <vt:variant>
        <vt:i4>5</vt:i4>
      </vt:variant>
      <vt:variant>
        <vt:lpwstr>http://www.cato.org/publications/commentary/iran-sanctions-leakage</vt:lpwstr>
      </vt:variant>
      <vt:variant>
        <vt:lpwstr/>
      </vt:variant>
      <vt:variant>
        <vt:i4>3211385</vt:i4>
      </vt:variant>
      <vt:variant>
        <vt:i4>291</vt:i4>
      </vt:variant>
      <vt:variant>
        <vt:i4>0</vt:i4>
      </vt:variant>
      <vt:variant>
        <vt:i4>5</vt:i4>
      </vt:variant>
      <vt:variant>
        <vt:lpwstr>http://www.law.georgetown.edu/academics/law-journals/gjil/recent/upload/zsx00313000973.PDF</vt:lpwstr>
      </vt:variant>
      <vt:variant>
        <vt:lpwstr/>
      </vt:variant>
      <vt:variant>
        <vt:i4>2359297</vt:i4>
      </vt:variant>
      <vt:variant>
        <vt:i4>288</vt:i4>
      </vt:variant>
      <vt:variant>
        <vt:i4>0</vt:i4>
      </vt:variant>
      <vt:variant>
        <vt:i4>5</vt:i4>
      </vt:variant>
      <vt:variant>
        <vt:lpwstr>http://www.washingtonpost.com/world/national-security/despite-sanctions-toll-on-iran-us-sees-no-shift-in-nuclear-behavior/2013/03/17/d23b3b6a-8dad-11e2-b63f-f53fb9f2fcb4_story.html</vt:lpwstr>
      </vt:variant>
      <vt:variant>
        <vt:lpwstr/>
      </vt:variant>
      <vt:variant>
        <vt:i4>2687049</vt:i4>
      </vt:variant>
      <vt:variant>
        <vt:i4>285</vt:i4>
      </vt:variant>
      <vt:variant>
        <vt:i4>0</vt:i4>
      </vt:variant>
      <vt:variant>
        <vt:i4>5</vt:i4>
      </vt:variant>
      <vt:variant>
        <vt:lpwstr>http://www.wilsoncenter.org/publication/sanctions-and-medical-supply-shortages-iran</vt:lpwstr>
      </vt:variant>
      <vt:variant>
        <vt:lpwstr/>
      </vt:variant>
      <vt:variant>
        <vt:i4>6553724</vt:i4>
      </vt:variant>
      <vt:variant>
        <vt:i4>282</vt:i4>
      </vt:variant>
      <vt:variant>
        <vt:i4>0</vt:i4>
      </vt:variant>
      <vt:variant>
        <vt:i4>5</vt:i4>
      </vt:variant>
      <vt:variant>
        <vt:lpwstr>http://www.nytimes.com/2013/03/02/opinion/blocking-medicine-to-iran.html?_r=0</vt:lpwstr>
      </vt:variant>
      <vt:variant>
        <vt:lpwstr/>
      </vt:variant>
      <vt:variant>
        <vt:i4>3211385</vt:i4>
      </vt:variant>
      <vt:variant>
        <vt:i4>279</vt:i4>
      </vt:variant>
      <vt:variant>
        <vt:i4>0</vt:i4>
      </vt:variant>
      <vt:variant>
        <vt:i4>5</vt:i4>
      </vt:variant>
      <vt:variant>
        <vt:lpwstr>http://www.law.georgetown.edu/academics/law-journals/gjil/recent/upload/zsx00313000973.PDF</vt:lpwstr>
      </vt:variant>
      <vt:variant>
        <vt:lpwstr/>
      </vt:variant>
      <vt:variant>
        <vt:i4>65574</vt:i4>
      </vt:variant>
      <vt:variant>
        <vt:i4>276</vt:i4>
      </vt:variant>
      <vt:variant>
        <vt:i4>0</vt:i4>
      </vt:variant>
      <vt:variant>
        <vt:i4>5</vt:i4>
      </vt:variant>
      <vt:variant>
        <vt:lpwstr>http://csis.org/files/publication/140122_Cordesman_IranSanctions_Web.pdf</vt:lpwstr>
      </vt:variant>
      <vt:variant>
        <vt:lpwstr/>
      </vt:variant>
      <vt:variant>
        <vt:i4>6815794</vt:i4>
      </vt:variant>
      <vt:variant>
        <vt:i4>273</vt:i4>
      </vt:variant>
      <vt:variant>
        <vt:i4>0</vt:i4>
      </vt:variant>
      <vt:variant>
        <vt:i4>5</vt:i4>
      </vt:variant>
      <vt:variant>
        <vt:lpwstr>http://www.cato.org/publications/commentary/limits-coercive-diplomacy-iran</vt:lpwstr>
      </vt:variant>
      <vt:variant>
        <vt:lpwstr/>
      </vt:variant>
      <vt:variant>
        <vt:i4>6684729</vt:i4>
      </vt:variant>
      <vt:variant>
        <vt:i4>270</vt:i4>
      </vt:variant>
      <vt:variant>
        <vt:i4>0</vt:i4>
      </vt:variant>
      <vt:variant>
        <vt:i4>5</vt:i4>
      </vt:variant>
      <vt:variant>
        <vt:lpwstr>http://www.fas.org/sgp/crs/mideast/RS20871.pdf</vt:lpwstr>
      </vt:variant>
      <vt:variant>
        <vt:lpwstr/>
      </vt:variant>
      <vt:variant>
        <vt:i4>6684729</vt:i4>
      </vt:variant>
      <vt:variant>
        <vt:i4>267</vt:i4>
      </vt:variant>
      <vt:variant>
        <vt:i4>0</vt:i4>
      </vt:variant>
      <vt:variant>
        <vt:i4>5</vt:i4>
      </vt:variant>
      <vt:variant>
        <vt:lpwstr>http://www.fas.org/sgp/crs/mideast/RS20871.pdf</vt:lpwstr>
      </vt:variant>
      <vt:variant>
        <vt:lpwstr/>
      </vt:variant>
      <vt:variant>
        <vt:i4>196622</vt:i4>
      </vt:variant>
      <vt:variant>
        <vt:i4>264</vt:i4>
      </vt:variant>
      <vt:variant>
        <vt:i4>0</vt:i4>
      </vt:variant>
      <vt:variant>
        <vt:i4>5</vt:i4>
      </vt:variant>
      <vt:variant>
        <vt:lpwstr>http://www.amazon.com/Sanctions-Reconsidered-Institute-International-Economics/dp/0881324310</vt:lpwstr>
      </vt:variant>
      <vt:variant>
        <vt:lpwstr/>
      </vt:variant>
      <vt:variant>
        <vt:i4>8323188</vt:i4>
      </vt:variant>
      <vt:variant>
        <vt:i4>261</vt:i4>
      </vt:variant>
      <vt:variant>
        <vt:i4>0</vt:i4>
      </vt:variant>
      <vt:variant>
        <vt:i4>5</vt:i4>
      </vt:variant>
      <vt:variant>
        <vt:lpwstr>http://www.cato.org/publications/commentary/iran-sanctions-leakage</vt:lpwstr>
      </vt:variant>
      <vt:variant>
        <vt:lpwstr/>
      </vt:variant>
      <vt:variant>
        <vt:i4>4980796</vt:i4>
      </vt:variant>
      <vt:variant>
        <vt:i4>258</vt:i4>
      </vt:variant>
      <vt:variant>
        <vt:i4>0</vt:i4>
      </vt:variant>
      <vt:variant>
        <vt:i4>5</vt:i4>
      </vt:variant>
      <vt:variant>
        <vt:lpwstr>http://csis.org/files/publication/twq10januarydobbins.pdf</vt:lpwstr>
      </vt:variant>
      <vt:variant>
        <vt:lpwstr/>
      </vt:variant>
      <vt:variant>
        <vt:i4>1966193</vt:i4>
      </vt:variant>
      <vt:variant>
        <vt:i4>255</vt:i4>
      </vt:variant>
      <vt:variant>
        <vt:i4>0</vt:i4>
      </vt:variant>
      <vt:variant>
        <vt:i4>5</vt:i4>
      </vt:variant>
      <vt:variant>
        <vt:lpwstr>http://www.foreignpolicy.com/articles/2014/05/14/sanctions_did_not_force_iran_to_make_a_deal_nuclear_enrichment</vt:lpwstr>
      </vt:variant>
      <vt:variant>
        <vt:lpwstr/>
      </vt:variant>
      <vt:variant>
        <vt:i4>1966193</vt:i4>
      </vt:variant>
      <vt:variant>
        <vt:i4>252</vt:i4>
      </vt:variant>
      <vt:variant>
        <vt:i4>0</vt:i4>
      </vt:variant>
      <vt:variant>
        <vt:i4>5</vt:i4>
      </vt:variant>
      <vt:variant>
        <vt:lpwstr>http://www.foreignpolicy.com/articles/2014/05/14/sanctions_did_not_force_iran_to_make_a_deal_nuclear_enrichment</vt:lpwstr>
      </vt:variant>
      <vt:variant>
        <vt:lpwstr/>
      </vt:variant>
      <vt:variant>
        <vt:i4>5767295</vt:i4>
      </vt:variant>
      <vt:variant>
        <vt:i4>249</vt:i4>
      </vt:variant>
      <vt:variant>
        <vt:i4>0</vt:i4>
      </vt:variant>
      <vt:variant>
        <vt:i4>5</vt:i4>
      </vt:variant>
      <vt:variant>
        <vt:lpwstr>http://www.cnn.com/2013/12/19/politics/iran-sanctions-senate/</vt:lpwstr>
      </vt:variant>
      <vt:variant>
        <vt:lpwstr/>
      </vt:variant>
      <vt:variant>
        <vt:i4>4063269</vt:i4>
      </vt:variant>
      <vt:variant>
        <vt:i4>246</vt:i4>
      </vt:variant>
      <vt:variant>
        <vt:i4>0</vt:i4>
      </vt:variant>
      <vt:variant>
        <vt:i4>5</vt:i4>
      </vt:variant>
      <vt:variant>
        <vt:lpwstr>http://politicalticker.blogs.cnn.com/2013/12/01/ex-national-security-adviser-direct-line-between-iran-sanctions-and-rouhanis-election/</vt:lpwstr>
      </vt:variant>
      <vt:variant>
        <vt:lpwstr/>
      </vt:variant>
      <vt:variant>
        <vt:i4>1966193</vt:i4>
      </vt:variant>
      <vt:variant>
        <vt:i4>243</vt:i4>
      </vt:variant>
      <vt:variant>
        <vt:i4>0</vt:i4>
      </vt:variant>
      <vt:variant>
        <vt:i4>5</vt:i4>
      </vt:variant>
      <vt:variant>
        <vt:lpwstr>http://www.foreignpolicy.com/articles/2014/05/14/sanctions_did_not_force_iran_to_make_a_deal_nuclear_enrichment</vt:lpwstr>
      </vt:variant>
      <vt:variant>
        <vt:lpwstr/>
      </vt:variant>
      <vt:variant>
        <vt:i4>5701735</vt:i4>
      </vt:variant>
      <vt:variant>
        <vt:i4>240</vt:i4>
      </vt:variant>
      <vt:variant>
        <vt:i4>0</vt:i4>
      </vt:variant>
      <vt:variant>
        <vt:i4>5</vt:i4>
      </vt:variant>
      <vt:variant>
        <vt:lpwstr>http://www.aaiusa.org/blog/entry/zrs-poll-release-iranian-attitudes-toward-rouhani-and-irans-nuclear-program/</vt:lpwstr>
      </vt:variant>
      <vt:variant>
        <vt:lpwstr/>
      </vt:variant>
      <vt:variant>
        <vt:i4>1966193</vt:i4>
      </vt:variant>
      <vt:variant>
        <vt:i4>237</vt:i4>
      </vt:variant>
      <vt:variant>
        <vt:i4>0</vt:i4>
      </vt:variant>
      <vt:variant>
        <vt:i4>5</vt:i4>
      </vt:variant>
      <vt:variant>
        <vt:lpwstr>http://www.foreignpolicy.com/articles/2014/05/14/sanctions_did_not_force_iran_to_make_a_deal_nuclear_enrichment</vt:lpwstr>
      </vt:variant>
      <vt:variant>
        <vt:lpwstr/>
      </vt:variant>
      <vt:variant>
        <vt:i4>8323188</vt:i4>
      </vt:variant>
      <vt:variant>
        <vt:i4>234</vt:i4>
      </vt:variant>
      <vt:variant>
        <vt:i4>0</vt:i4>
      </vt:variant>
      <vt:variant>
        <vt:i4>5</vt:i4>
      </vt:variant>
      <vt:variant>
        <vt:lpwstr>http://www.cato.org/publications/commentary/iran-sanctions-leakage</vt:lpwstr>
      </vt:variant>
      <vt:variant>
        <vt:lpwstr/>
      </vt:variant>
      <vt:variant>
        <vt:i4>720949</vt:i4>
      </vt:variant>
      <vt:variant>
        <vt:i4>231</vt:i4>
      </vt:variant>
      <vt:variant>
        <vt:i4>0</vt:i4>
      </vt:variant>
      <vt:variant>
        <vt:i4>5</vt:i4>
      </vt:variant>
      <vt:variant>
        <vt:lpwstr>http://www.treasury.gov/resource-center/sanctions/Programs/Documents/jpoa_faqs.pdf</vt:lpwstr>
      </vt:variant>
      <vt:variant>
        <vt:lpwstr/>
      </vt:variant>
      <vt:variant>
        <vt:i4>3211385</vt:i4>
      </vt:variant>
      <vt:variant>
        <vt:i4>228</vt:i4>
      </vt:variant>
      <vt:variant>
        <vt:i4>0</vt:i4>
      </vt:variant>
      <vt:variant>
        <vt:i4>5</vt:i4>
      </vt:variant>
      <vt:variant>
        <vt:lpwstr>http://www.law.georgetown.edu/academics/law-journals/gjil/recent/upload/zsx00313000973.PDF</vt:lpwstr>
      </vt:variant>
      <vt:variant>
        <vt:lpwstr/>
      </vt:variant>
      <vt:variant>
        <vt:i4>3211385</vt:i4>
      </vt:variant>
      <vt:variant>
        <vt:i4>225</vt:i4>
      </vt:variant>
      <vt:variant>
        <vt:i4>0</vt:i4>
      </vt:variant>
      <vt:variant>
        <vt:i4>5</vt:i4>
      </vt:variant>
      <vt:variant>
        <vt:lpwstr>http://www.law.georgetown.edu/academics/law-journals/gjil/recent/upload/zsx00313000973.PDF</vt:lpwstr>
      </vt:variant>
      <vt:variant>
        <vt:lpwstr/>
      </vt:variant>
      <vt:variant>
        <vt:i4>3211385</vt:i4>
      </vt:variant>
      <vt:variant>
        <vt:i4>222</vt:i4>
      </vt:variant>
      <vt:variant>
        <vt:i4>0</vt:i4>
      </vt:variant>
      <vt:variant>
        <vt:i4>5</vt:i4>
      </vt:variant>
      <vt:variant>
        <vt:lpwstr>http://www.law.georgetown.edu/academics/law-journals/gjil/recent/upload/zsx00313000973.PDF</vt:lpwstr>
      </vt:variant>
      <vt:variant>
        <vt:lpwstr/>
      </vt:variant>
      <vt:variant>
        <vt:i4>1179710</vt:i4>
      </vt:variant>
      <vt:variant>
        <vt:i4>219</vt:i4>
      </vt:variant>
      <vt:variant>
        <vt:i4>0</vt:i4>
      </vt:variant>
      <vt:variant>
        <vt:i4>5</vt:i4>
      </vt:variant>
      <vt:variant>
        <vt:lpwstr>http://www.guardian.co.uk/commentisfree/2012/oct/02/iran-nukes-deterrence</vt:lpwstr>
      </vt:variant>
      <vt:variant>
        <vt:lpwstr/>
      </vt:variant>
      <vt:variant>
        <vt:i4>118</vt:i4>
      </vt:variant>
      <vt:variant>
        <vt:i4>216</vt:i4>
      </vt:variant>
      <vt:variant>
        <vt:i4>0</vt:i4>
      </vt:variant>
      <vt:variant>
        <vt:i4>5</vt:i4>
      </vt:variant>
      <vt:variant>
        <vt:lpwstr>http://www.foreignaffairs.com/articles/137011/suzanne-maloney/obamas-counterproductive-new-iran-sanctions</vt:lpwstr>
      </vt:variant>
      <vt:variant>
        <vt:lpwstr/>
      </vt:variant>
      <vt:variant>
        <vt:i4>2949167</vt:i4>
      </vt:variant>
      <vt:variant>
        <vt:i4>213</vt:i4>
      </vt:variant>
      <vt:variant>
        <vt:i4>0</vt:i4>
      </vt:variant>
      <vt:variant>
        <vt:i4>5</vt:i4>
      </vt:variant>
      <vt:variant>
        <vt:lpwstr>http://www.cato.org/blog/iran-would-us-take-yes-answer</vt:lpwstr>
      </vt:variant>
      <vt:variant>
        <vt:lpwstr/>
      </vt:variant>
      <vt:variant>
        <vt:i4>4325398</vt:i4>
      </vt:variant>
      <vt:variant>
        <vt:i4>210</vt:i4>
      </vt:variant>
      <vt:variant>
        <vt:i4>0</vt:i4>
      </vt:variant>
      <vt:variant>
        <vt:i4>5</vt:i4>
      </vt:variant>
      <vt:variant>
        <vt:lpwstr>http://www.al-monitor.com/pulse/originals/2014/03/iran-sanctions-terrorism-second-front-nuclear.html</vt:lpwstr>
      </vt:variant>
      <vt:variant>
        <vt:lpwstr/>
      </vt:variant>
      <vt:variant>
        <vt:i4>1966193</vt:i4>
      </vt:variant>
      <vt:variant>
        <vt:i4>207</vt:i4>
      </vt:variant>
      <vt:variant>
        <vt:i4>0</vt:i4>
      </vt:variant>
      <vt:variant>
        <vt:i4>5</vt:i4>
      </vt:variant>
      <vt:variant>
        <vt:lpwstr>http://www.foreignpolicy.com/articles/2014/05/14/sanctions_did_not_force_iran_to_make_a_deal_nuclear_enrichment</vt:lpwstr>
      </vt:variant>
      <vt:variant>
        <vt:lpwstr/>
      </vt:variant>
      <vt:variant>
        <vt:i4>8323188</vt:i4>
      </vt:variant>
      <vt:variant>
        <vt:i4>204</vt:i4>
      </vt:variant>
      <vt:variant>
        <vt:i4>0</vt:i4>
      </vt:variant>
      <vt:variant>
        <vt:i4>5</vt:i4>
      </vt:variant>
      <vt:variant>
        <vt:lpwstr>http://www.cato.org/publications/commentary/iran-sanctions-leakage</vt:lpwstr>
      </vt:variant>
      <vt:variant>
        <vt:lpwstr/>
      </vt:variant>
      <vt:variant>
        <vt:i4>3211385</vt:i4>
      </vt:variant>
      <vt:variant>
        <vt:i4>201</vt:i4>
      </vt:variant>
      <vt:variant>
        <vt:i4>0</vt:i4>
      </vt:variant>
      <vt:variant>
        <vt:i4>5</vt:i4>
      </vt:variant>
      <vt:variant>
        <vt:lpwstr>http://www.law.georgetown.edu/academics/law-journals/gjil/recent/upload/zsx00313000973.PDF</vt:lpwstr>
      </vt:variant>
      <vt:variant>
        <vt:lpwstr/>
      </vt:variant>
      <vt:variant>
        <vt:i4>8126591</vt:i4>
      </vt:variant>
      <vt:variant>
        <vt:i4>198</vt:i4>
      </vt:variant>
      <vt:variant>
        <vt:i4>0</vt:i4>
      </vt:variant>
      <vt:variant>
        <vt:i4>5</vt:i4>
      </vt:variant>
      <vt:variant>
        <vt:lpwstr>http://www.foreignaffairs.com/articles/137731/kenneth-n-waltz/why-iran-should-get-the-bomb</vt:lpwstr>
      </vt:variant>
      <vt:variant>
        <vt:lpwstr/>
      </vt:variant>
      <vt:variant>
        <vt:i4>1441819</vt:i4>
      </vt:variant>
      <vt:variant>
        <vt:i4>195</vt:i4>
      </vt:variant>
      <vt:variant>
        <vt:i4>0</vt:i4>
      </vt:variant>
      <vt:variant>
        <vt:i4>5</vt:i4>
      </vt:variant>
      <vt:variant>
        <vt:lpwstr>http://fr.wikipedia.org/wiki/Universit%C3%A9_Columbia</vt:lpwstr>
      </vt:variant>
      <vt:variant>
        <vt:lpwstr/>
      </vt:variant>
      <vt:variant>
        <vt:i4>7929900</vt:i4>
      </vt:variant>
      <vt:variant>
        <vt:i4>192</vt:i4>
      </vt:variant>
      <vt:variant>
        <vt:i4>0</vt:i4>
      </vt:variant>
      <vt:variant>
        <vt:i4>5</vt:i4>
      </vt:variant>
      <vt:variant>
        <vt:lpwstr>http://fr.wikipedia.org/wiki/Universit%C3%A9_de_Californie_%C3%A0_Berkeley</vt:lpwstr>
      </vt:variant>
      <vt:variant>
        <vt:lpwstr/>
      </vt:variant>
      <vt:variant>
        <vt:i4>3211385</vt:i4>
      </vt:variant>
      <vt:variant>
        <vt:i4>189</vt:i4>
      </vt:variant>
      <vt:variant>
        <vt:i4>0</vt:i4>
      </vt:variant>
      <vt:variant>
        <vt:i4>5</vt:i4>
      </vt:variant>
      <vt:variant>
        <vt:lpwstr>http://www.law.georgetown.edu/academics/law-journals/gjil/recent/upload/zsx00313000973.PDF</vt:lpwstr>
      </vt:variant>
      <vt:variant>
        <vt:lpwstr/>
      </vt:variant>
      <vt:variant>
        <vt:i4>1572981</vt:i4>
      </vt:variant>
      <vt:variant>
        <vt:i4>186</vt:i4>
      </vt:variant>
      <vt:variant>
        <vt:i4>0</vt:i4>
      </vt:variant>
      <vt:variant>
        <vt:i4>5</vt:i4>
      </vt:variant>
      <vt:variant>
        <vt:lpwstr>http://www.cato.org/publications/commentary/failure-iranian-sanctions</vt:lpwstr>
      </vt:variant>
      <vt:variant>
        <vt:lpwstr/>
      </vt:variant>
      <vt:variant>
        <vt:i4>6684729</vt:i4>
      </vt:variant>
      <vt:variant>
        <vt:i4>183</vt:i4>
      </vt:variant>
      <vt:variant>
        <vt:i4>0</vt:i4>
      </vt:variant>
      <vt:variant>
        <vt:i4>5</vt:i4>
      </vt:variant>
      <vt:variant>
        <vt:lpwstr>http://www.fas.org/sgp/crs/mideast/RS20871.pdf</vt:lpwstr>
      </vt:variant>
      <vt:variant>
        <vt:lpwstr/>
      </vt:variant>
      <vt:variant>
        <vt:i4>720991</vt:i4>
      </vt:variant>
      <vt:variant>
        <vt:i4>180</vt:i4>
      </vt:variant>
      <vt:variant>
        <vt:i4>0</vt:i4>
      </vt:variant>
      <vt:variant>
        <vt:i4>5</vt:i4>
      </vt:variant>
      <vt:variant>
        <vt:lpwstr>http://www.merriam-webster.com/dictionary/policy?show=0&amp;t=1402599657</vt:lpwstr>
      </vt:variant>
      <vt:variant>
        <vt:lpwstr/>
      </vt:variant>
      <vt:variant>
        <vt:i4>1835133</vt:i4>
      </vt:variant>
      <vt:variant>
        <vt:i4>177</vt:i4>
      </vt:variant>
      <vt:variant>
        <vt:i4>0</vt:i4>
      </vt:variant>
      <vt:variant>
        <vt:i4>5</vt:i4>
      </vt:variant>
      <vt:variant>
        <vt:lpwstr>http://www.merriam-webster.com/dictionary/significant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2012-STOA-BB-012-AFF-SaudiArabia-SUBMITTED.docx</dc:title>
  <dc:creator>Chris Jeub</dc:creator>
  <cp:lastModifiedBy>TREFETHEN Vance</cp:lastModifiedBy>
  <cp:revision>86</cp:revision>
  <cp:lastPrinted>2014-07-05T10:25:00Z</cp:lastPrinted>
  <dcterms:created xsi:type="dcterms:W3CDTF">2018-06-04T23:49:00Z</dcterms:created>
  <dcterms:modified xsi:type="dcterms:W3CDTF">2020-01-31T22:07:00Z</dcterms:modified>
</cp:coreProperties>
</file>